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68.png" ContentType="image/png"/>
  <Override PartName="/word/media/rId31.png" ContentType="image/png"/>
  <Override PartName="/word/media/rId41.png" ContentType="image/png"/>
  <Override PartName="/word/media/rId66.png" ContentType="image/png"/>
  <Override PartName="/word/media/rId73.png" ContentType="image/png"/>
  <Override PartName="/word/media/rId64.png" ContentType="image/png"/>
  <Override PartName="/word/media/rId42.png" ContentType="image/png"/>
  <Override PartName="/word/media/rId55.png" ContentType="image/png"/>
  <Override PartName="/word/media/rId70.png" ContentType="image/png"/>
  <Override PartName="/word/media/rId67.png" ContentType="image/png"/>
  <Override PartName="/word/media/rId74.png" ContentType="image/png"/>
  <Override PartName="/word/media/rId63.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Accelerating</w:t>
      </w:r>
      <w:r>
        <w:t xml:space="preserve"> </w:t>
      </w:r>
      <w:r>
        <w:t xml:space="preserve">structure-function</w:t>
      </w:r>
      <w:r>
        <w:t xml:space="preserve"> </w:t>
      </w:r>
      <w:r>
        <w:t xml:space="preserve">mapping</w:t>
      </w:r>
      <w:r>
        <w:t xml:space="preserve"> </w:t>
      </w:r>
      <w:r>
        <w:t xml:space="preserve">using</w:t>
      </w:r>
      <w:r>
        <w:t xml:space="preserve"> </w:t>
      </w:r>
      <w:r>
        <w:t xml:space="preserve">the</w:t>
      </w:r>
      <w:r>
        <w:t xml:space="preserve"> </w:t>
      </w:r>
      <w:r>
        <w:t xml:space="preserve">ViVa</w:t>
      </w:r>
      <w:r>
        <w:t xml:space="preserve"> </w:t>
      </w:r>
      <w:r>
        <w:t xml:space="preserve">webtool</w:t>
      </w:r>
      <w:r>
        <w:t xml:space="preserve"> </w:t>
      </w:r>
      <w:r>
        <w:t xml:space="preserve">to</w:t>
      </w:r>
      <w:r>
        <w:t xml:space="preserve"> </w:t>
      </w:r>
      <w:r>
        <w:t xml:space="preserve">mine</w:t>
      </w:r>
      <w:r>
        <w:t xml:space="preserve"> </w:t>
      </w:r>
      <w:r>
        <w:t xml:space="preserve">natural</w:t>
      </w:r>
      <w:r>
        <w:t xml:space="preserve"> </w:t>
      </w:r>
      <w:r>
        <w:t xml:space="preserve">variation</w:t>
      </w:r>
    </w:p>
    <w:p>
      <w:pPr>
        <w:pStyle w:val="Author"/>
      </w:pPr>
      <w:r>
        <w:t xml:space="preserve">Morgan</w:t>
      </w:r>
      <w:r>
        <w:t xml:space="preserve"> </w:t>
      </w:r>
      <w:r>
        <w:t xml:space="preserve">O.</w:t>
      </w:r>
      <w:r>
        <w:t xml:space="preserve"> </w:t>
      </w:r>
      <w:r>
        <w:t xml:space="preserve">Hamm</w:t>
      </w:r>
      <w:r>
        <w:rPr>
          <w:vertAlign w:val="superscript"/>
        </w:rPr>
        <w:t xml:space="preserve">1</w:t>
      </w:r>
      <w:r>
        <w:t xml:space="preserve">,</w:t>
      </w:r>
      <w:r>
        <w:t xml:space="preserve"> </w:t>
      </w:r>
      <w:r>
        <w:t xml:space="preserve">Britney</w:t>
      </w:r>
      <w:r>
        <w:t xml:space="preserve"> </w:t>
      </w:r>
      <w:r>
        <w:t xml:space="preserve">L.</w:t>
      </w:r>
      <w:r>
        <w:t xml:space="preserve"> </w:t>
      </w:r>
      <w:r>
        <w:t xml:space="preserve">Moss</w:t>
      </w:r>
      <w:r>
        <w:rPr>
          <w:vertAlign w:val="superscript"/>
        </w:rPr>
        <w:t xml:space="preserve">2</w:t>
      </w:r>
      <w:r>
        <w:t xml:space="preserve">,</w:t>
      </w:r>
      <w:r>
        <w:t xml:space="preserve"> </w:t>
      </w:r>
      <w:r>
        <w:t xml:space="preserve">Alexander</w:t>
      </w:r>
      <w:r>
        <w:t xml:space="preserve"> </w:t>
      </w:r>
      <w:r>
        <w:t xml:space="preserve">R.</w:t>
      </w:r>
      <w:r>
        <w:t xml:space="preserve"> </w:t>
      </w:r>
      <w:r>
        <w:t xml:space="preserve">Leydon</w:t>
      </w:r>
      <w:r>
        <w:rPr>
          <w:vertAlign w:val="superscript"/>
        </w:rPr>
        <w:t xml:space="preserve">1</w:t>
      </w:r>
      <w:r>
        <w:t xml:space="preserve">,</w:t>
      </w:r>
      <w:r>
        <w:t xml:space="preserve"> </w:t>
      </w:r>
      <w:r>
        <w:t xml:space="preserve">Hardik</w:t>
      </w:r>
      <w:r>
        <w:t xml:space="preserve"> </w:t>
      </w:r>
      <w:r>
        <w:t xml:space="preserve">P.</w:t>
      </w:r>
      <w:r>
        <w:t xml:space="preserve"> </w:t>
      </w:r>
      <w:r>
        <w:t xml:space="preserve">Gala</w:t>
      </w:r>
      <w:r>
        <w:rPr>
          <w:vertAlign w:val="superscript"/>
        </w:rPr>
        <w:t xml:space="preserve">1</w:t>
      </w:r>
      <w:r>
        <w:t xml:space="preserve">,</w:t>
      </w:r>
      <w:r>
        <w:t xml:space="preserve"> </w:t>
      </w:r>
      <w:r>
        <w:t xml:space="preserve">Amy</w:t>
      </w:r>
      <w:r>
        <w:t xml:space="preserve"> </w:t>
      </w:r>
      <w:r>
        <w:t xml:space="preserve">Lanctot</w:t>
      </w:r>
      <w:r>
        <w:rPr>
          <w:vertAlign w:val="superscript"/>
        </w:rPr>
        <w:t xml:space="preserve">1</w:t>
      </w:r>
      <w:r>
        <w:t xml:space="preserve">,</w:t>
      </w:r>
      <w:r>
        <w:t xml:space="preserve"> </w:t>
      </w:r>
      <w:r>
        <w:t xml:space="preserve">Román</w:t>
      </w:r>
      <w:r>
        <w:t xml:space="preserve"> </w:t>
      </w:r>
      <w:r>
        <w:t xml:space="preserve">Ramos</w:t>
      </w:r>
      <w:r>
        <w:rPr>
          <w:vertAlign w:val="superscript"/>
        </w:rPr>
        <w:t xml:space="preserve">1</w:t>
      </w:r>
      <w:r>
        <w:t xml:space="preserve">,</w:t>
      </w:r>
      <w:r>
        <w:t xml:space="preserve"> </w:t>
      </w:r>
      <w:r>
        <w:t xml:space="preserve">Hannah</w:t>
      </w:r>
      <w:r>
        <w:t xml:space="preserve"> </w:t>
      </w:r>
      <w:r>
        <w:t xml:space="preserve">Klaeser</w:t>
      </w:r>
      <w:r>
        <w:rPr>
          <w:vertAlign w:val="superscript"/>
        </w:rPr>
        <w:t xml:space="preserve">2</w:t>
      </w:r>
      <w:r>
        <w:t xml:space="preserve">,</w:t>
      </w:r>
      <w:r>
        <w:t xml:space="preserve"> </w:t>
      </w:r>
      <w:r>
        <w:t xml:space="preserve">Andrew</w:t>
      </w:r>
      <w:r>
        <w:t xml:space="preserve"> </w:t>
      </w:r>
      <w:r>
        <w:t xml:space="preserve">C.</w:t>
      </w:r>
      <w:r>
        <w:t xml:space="preserve"> </w:t>
      </w:r>
      <w:r>
        <w:t xml:space="preserve">Lemmex</w:t>
      </w:r>
      <w:r>
        <w:rPr>
          <w:vertAlign w:val="superscript"/>
        </w:rPr>
        <w:t xml:space="preserve">1</w:t>
      </w:r>
      <w:r>
        <w:t xml:space="preserve">,</w:t>
      </w:r>
      <w:r>
        <w:t xml:space="preserve"> </w:t>
      </w:r>
      <w:r>
        <w:t xml:space="preserve">Mollye</w:t>
      </w:r>
      <w:r>
        <w:t xml:space="preserve"> </w:t>
      </w:r>
      <w:r>
        <w:t xml:space="preserve">L.</w:t>
      </w:r>
      <w:r>
        <w:t xml:space="preserve"> </w:t>
      </w:r>
      <w:r>
        <w:t xml:space="preserve">Zahler</w:t>
      </w:r>
      <w:r>
        <w:rPr>
          <w:vertAlign w:val="superscript"/>
        </w:rPr>
        <w:t xml:space="preserve">1</w:t>
      </w:r>
      <w:r>
        <w:t xml:space="preserve">,</w:t>
      </w:r>
      <w:r>
        <w:t xml:space="preserve"> </w:t>
      </w:r>
      <w:r>
        <w:t xml:space="preserve">Jennifer</w:t>
      </w:r>
      <w:r>
        <w:t xml:space="preserve"> </w:t>
      </w:r>
      <w:r>
        <w:t xml:space="preserve">L.</w:t>
      </w:r>
      <w:r>
        <w:t xml:space="preserve"> </w:t>
      </w:r>
      <w:r>
        <w:t xml:space="preserve">Nemhauser</w:t>
      </w:r>
      <w:r>
        <w:rPr>
          <w:vertAlign w:val="superscript"/>
        </w:rPr>
        <w:t xml:space="preserve">1</w:t>
      </w:r>
      <w:r>
        <w:t xml:space="preserve">,</w:t>
      </w:r>
      <w:r>
        <w:t xml:space="preserve"> </w:t>
      </w:r>
      <w:r>
        <w:t xml:space="preserve">R.</w:t>
      </w:r>
      <w:r>
        <w:t xml:space="preserve"> </w:t>
      </w:r>
      <w:r>
        <w:t xml:space="preserve">Clay</w:t>
      </w:r>
      <w:r>
        <w:t xml:space="preserve"> </w:t>
      </w:r>
      <w:r>
        <w:t xml:space="preserve">Wright</w:t>
      </w:r>
      <w:r>
        <w:rPr>
          <w:vertAlign w:val="superscript"/>
        </w:rPr>
        <w:t xml:space="preserve">3</w:t>
      </w:r>
      <m:oMath>
        <m:r>
          <m:t>*</m:t>
        </m:r>
      </m:oMath>
    </w:p>
    <w:p>
      <w:pPr>
        <w:pStyle w:val="Author"/>
      </w:pPr>
      <w:r>
        <w:rPr>
          <w:vertAlign w:val="superscript"/>
        </w:rPr>
        <w:t xml:space="preserve">1</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w:r>
        <w:rPr>
          <w:vertAlign w:val="superscript"/>
        </w:rPr>
        <w:t xml:space="preserve">2</w:t>
      </w:r>
      <w:r>
        <w:t xml:space="preserve">Department</w:t>
      </w:r>
      <w:r>
        <w:t xml:space="preserve"> </w:t>
      </w:r>
      <w:r>
        <w:t xml:space="preserve">of</w:t>
      </w:r>
      <w:r>
        <w:t xml:space="preserve"> </w:t>
      </w:r>
      <w:r>
        <w:t xml:space="preserve">Biology,</w:t>
      </w:r>
      <w:r>
        <w:t xml:space="preserve"> </w:t>
      </w:r>
      <w:r>
        <w:t xml:space="preserve">Whitman</w:t>
      </w:r>
      <w:r>
        <w:t xml:space="preserve"> </w:t>
      </w:r>
      <w:r>
        <w:t xml:space="preserve">College,</w:t>
      </w:r>
      <w:r>
        <w:t xml:space="preserve"> </w:t>
      </w:r>
      <w:r>
        <w:t xml:space="preserve">Walla</w:t>
      </w:r>
      <w:r>
        <w:t xml:space="preserve"> </w:t>
      </w:r>
      <w:r>
        <w:t xml:space="preserve">Walla,</w:t>
      </w:r>
      <w:r>
        <w:t xml:space="preserve"> </w:t>
      </w:r>
      <w:r>
        <w:t xml:space="preserve">WA,</w:t>
      </w:r>
      <w:r>
        <w:t xml:space="preserve"> </w:t>
      </w:r>
      <w:r>
        <w:t xml:space="preserve">USA.</w:t>
      </w:r>
    </w:p>
    <w:p>
      <w:pPr>
        <w:pStyle w:val="Author"/>
      </w:pPr>
      <w:r>
        <w:rPr>
          <w:vertAlign w:val="superscript"/>
        </w:rPr>
        <w:t xml:space="preserve">3</w:t>
      </w:r>
      <w:r>
        <w:t xml:space="preserve">Biological</w:t>
      </w:r>
      <w:r>
        <w:t xml:space="preserve"> </w:t>
      </w:r>
      <w:r>
        <w:t xml:space="preserve">Systems</w:t>
      </w:r>
      <w:r>
        <w:t xml:space="preserve"> </w:t>
      </w:r>
      <w:r>
        <w:t xml:space="preserve">Engineering,</w:t>
      </w:r>
      <w:r>
        <w:t xml:space="preserve"> </w:t>
      </w:r>
      <w:r>
        <w:t xml:space="preserve">Virginia</w:t>
      </w:r>
      <w:r>
        <w:t xml:space="preserve"> </w:t>
      </w:r>
      <w:r>
        <w:t xml:space="preserve">Tech,</w:t>
      </w:r>
      <w:r>
        <w:t xml:space="preserve"> </w:t>
      </w:r>
      <w:r>
        <w:t xml:space="preserve">Blacksburg,</w:t>
      </w:r>
      <w:r>
        <w:t xml:space="preserve"> </w:t>
      </w:r>
      <w:r>
        <w:t xml:space="preserve">VA,</w:t>
      </w:r>
      <w:r>
        <w:t xml:space="preserve"> </w:t>
      </w:r>
      <w:r>
        <w:t xml:space="preserve">USA.</w:t>
      </w:r>
      <w:r>
        <w:t xml:space="preserve"> </w:t>
      </w:r>
      <w:r>
        <w:t xml:space="preserve">Previous</w:t>
      </w:r>
      <w:r>
        <w:t xml:space="preserve"> </w:t>
      </w:r>
      <w:r>
        <w:t xml:space="preserve">affiliation</w:t>
      </w:r>
      <m:oMath>
        <m:r>
          <m:t>:</m:t>
        </m:r>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m:oMath>
        <m:r>
          <m:t>*</m:t>
        </m:r>
      </m:oMath>
      <w:r>
        <w:t xml:space="preserve">Direct</w:t>
      </w:r>
      <w:r>
        <w:t xml:space="preserve"> </w:t>
      </w:r>
      <w:r>
        <w:t xml:space="preserve">correspondence</w:t>
      </w:r>
      <w:r>
        <w:t xml:space="preserve"> </w:t>
      </w:r>
      <w:r>
        <w:t xml:space="preserve">to</w:t>
      </w:r>
      <m:oMath>
        <m:r>
          <m:t>:</m:t>
        </m:r>
      </m:oMath>
      <w:r>
        <w:t xml:space="preserve"> </w:t>
      </w:r>
      <w:hyperlink r:id="rId20">
        <w:r>
          <w:rPr>
            <w:rStyle w:val="Hyperlink"/>
          </w:rPr>
          <w:t xml:space="preserve">wrightrc@vt.edu</w:t>
        </w:r>
      </w:hyperlink>
      <w:r>
        <w:t xml:space="preserve">.</w:t>
      </w:r>
    </w:p>
    <w:p>
      <w:pPr>
        <w:pStyle w:val="Date"/>
      </w:pPr>
      <w:r>
        <w:t xml:space="preserve">2019-05-08</w:t>
      </w:r>
    </w:p>
    <w:p>
      <w:pPr>
        <w:pStyle w:val="Compact"/>
        <w:pStyle w:val="Abstract"/>
      </w:pPr>
      <w:r>
        <w:t xml:space="preserve">Thousands</w:t>
      </w:r>
      <w:r>
        <w:t xml:space="preserve"> </w:t>
      </w:r>
      <w:r>
        <w:t xml:space="preserve">of</w:t>
      </w:r>
      <w:r>
        <w:t xml:space="preserve"> </w:t>
      </w:r>
      <w:r>
        <w:t xml:space="preserve">sequenced</w:t>
      </w:r>
      <w:r>
        <w:t xml:space="preserve"> </w:t>
      </w:r>
      <w:r>
        <w:t xml:space="preserve">genomes</w:t>
      </w:r>
      <w:r>
        <w:t xml:space="preserve"> </w:t>
      </w:r>
      <w:r>
        <w:t xml:space="preserve">are</w:t>
      </w:r>
      <w:r>
        <w:t xml:space="preserve"> </w:t>
      </w:r>
      <w:r>
        <w:t xml:space="preserve">now</w:t>
      </w:r>
      <w:r>
        <w:t xml:space="preserve"> </w:t>
      </w:r>
      <w:r>
        <w:t xml:space="preserve">publicly</w:t>
      </w:r>
      <w:r>
        <w:t xml:space="preserve"> </w:t>
      </w:r>
      <w:r>
        <w:t xml:space="preserve">available</w:t>
      </w:r>
      <w:r>
        <w:t xml:space="preserve"> </w:t>
      </w:r>
      <w:r>
        <w:t xml:space="preserve">capturing</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natural</w:t>
      </w:r>
      <w:r>
        <w:t xml:space="preserve"> </w:t>
      </w:r>
      <w:r>
        <w:t xml:space="preserve">variation</w:t>
      </w:r>
      <w:r>
        <w:t xml:space="preserve"> </w:t>
      </w:r>
      <w:r>
        <w:t xml:space="preserve">within</w:t>
      </w:r>
      <w:r>
        <w:t xml:space="preserve"> </w:t>
      </w:r>
      <w:r>
        <w:t xml:space="preserve">plant</w:t>
      </w:r>
      <w:r>
        <w:t xml:space="preserve"> </w:t>
      </w:r>
      <w:r>
        <w:t xml:space="preserve">species;</w:t>
      </w:r>
      <w:r>
        <w:t xml:space="preserve"> </w:t>
      </w:r>
      <w:r>
        <w:t xml:space="preserve">yet,</w:t>
      </w:r>
      <w:r>
        <w:t xml:space="preserve"> </w:t>
      </w:r>
      <w:r>
        <w:t xml:space="preserve">much</w:t>
      </w:r>
      <w:r>
        <w:t xml:space="preserve"> </w:t>
      </w:r>
      <w:r>
        <w:t xml:space="preserve">of</w:t>
      </w:r>
      <w:r>
        <w:t xml:space="preserve"> </w:t>
      </w:r>
      <w:r>
        <w:t xml:space="preserve">this</w:t>
      </w:r>
      <w:r>
        <w:t xml:space="preserve"> </w:t>
      </w:r>
      <w:r>
        <w:t xml:space="preserve">data</w:t>
      </w:r>
      <w:r>
        <w:t xml:space="preserve"> </w:t>
      </w:r>
      <w:r>
        <w:t xml:space="preserve">remains</w:t>
      </w:r>
      <w:r>
        <w:t xml:space="preserve"> </w:t>
      </w:r>
      <w:r>
        <w:t xml:space="preserve">inaccessible</w:t>
      </w:r>
      <w:r>
        <w:t xml:space="preserve"> </w:t>
      </w:r>
      <w:r>
        <w:t xml:space="preserve">to</w:t>
      </w:r>
      <w:r>
        <w:t xml:space="preserve"> </w:t>
      </w:r>
      <w:r>
        <w:t xml:space="preserve">researchers</w:t>
      </w:r>
      <w:r>
        <w:t xml:space="preserve"> </w:t>
      </w:r>
      <w:r>
        <w:t xml:space="preserve">without</w:t>
      </w:r>
      <w:r>
        <w:t xml:space="preserve"> </w:t>
      </w:r>
      <w:r>
        <w:t xml:space="preserve">significant</w:t>
      </w:r>
      <w:r>
        <w:t xml:space="preserve"> </w:t>
      </w:r>
      <w:r>
        <w:t xml:space="preserve">bioinformatics</w:t>
      </w:r>
      <w:r>
        <w:t xml:space="preserve"> </w:t>
      </w:r>
      <w:r>
        <w:t xml:space="preserve">experience.</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webtool</w:t>
      </w:r>
      <w:r>
        <w:t xml:space="preserve"> </w:t>
      </w:r>
      <w:r>
        <w:t xml:space="preserve">called</w:t>
      </w:r>
      <w:r>
        <w:t xml:space="preserve"> </w:t>
      </w:r>
      <w:r>
        <w:t xml:space="preserve">ViVa</w:t>
      </w:r>
      <w:r>
        <w:t xml:space="preserve"> </w:t>
      </w:r>
      <w:r>
        <w:t xml:space="preserve">(Visualizing</w:t>
      </w:r>
      <w:r>
        <w:t xml:space="preserve"> </w:t>
      </w:r>
      <w:r>
        <w:t xml:space="preserve">Variation)</w:t>
      </w:r>
      <w:r>
        <w:t xml:space="preserve"> </w:t>
      </w:r>
      <w:r>
        <w:t xml:space="preserve">which</w:t>
      </w:r>
      <w:r>
        <w:t xml:space="preserve"> </w:t>
      </w:r>
      <w:r>
        <w:t xml:space="preserve">aims</w:t>
      </w:r>
      <w:r>
        <w:t xml:space="preserve"> </w:t>
      </w:r>
      <w:r>
        <w:t xml:space="preserve">to</w:t>
      </w:r>
      <w:r>
        <w:t xml:space="preserve"> </w:t>
      </w:r>
      <w:r>
        <w:t xml:space="preserve">empower</w:t>
      </w:r>
      <w:r>
        <w:t xml:space="preserve"> </w:t>
      </w:r>
      <w:r>
        <w:t xml:space="preserve">any</w:t>
      </w:r>
      <w:r>
        <w:t xml:space="preserve"> </w:t>
      </w:r>
      <w:r>
        <w:t xml:space="preserve">researcher</w:t>
      </w:r>
      <w:r>
        <w:t xml:space="preserve"> </w:t>
      </w:r>
      <w:r>
        <w:t xml:space="preserve">to</w:t>
      </w:r>
      <w:r>
        <w:t xml:space="preserve"> </w:t>
      </w:r>
      <w:r>
        <w:t xml:space="preserve">take</w:t>
      </w:r>
      <w:r>
        <w:t xml:space="preserve"> </w:t>
      </w:r>
      <w:r>
        <w:t xml:space="preserve">advantage</w:t>
      </w:r>
      <w:r>
        <w:t xml:space="preserve"> </w:t>
      </w:r>
      <w:r>
        <w:t xml:space="preserve">of</w:t>
      </w:r>
      <w:r>
        <w:t xml:space="preserve"> </w:t>
      </w:r>
      <w:r>
        <w:t xml:space="preserve">the</w:t>
      </w:r>
      <w:r>
        <w:t xml:space="preserve"> </w:t>
      </w:r>
      <w:r>
        <w:t xml:space="preserve">amazing</w:t>
      </w:r>
      <w:r>
        <w:t xml:space="preserve"> </w:t>
      </w:r>
      <w:r>
        <w:t xml:space="preserve">genetic</w:t>
      </w:r>
      <w:r>
        <w:t xml:space="preserve"> </w:t>
      </w:r>
      <w:r>
        <w:t xml:space="preserve">resource</w:t>
      </w:r>
      <w:r>
        <w:t xml:space="preserve"> </w:t>
      </w:r>
      <w:r>
        <w:t xml:space="preserve">collected</w:t>
      </w:r>
      <w:r>
        <w:t xml:space="preserve"> </w:t>
      </w:r>
      <w:r>
        <w:t xml:space="preserve">in</w:t>
      </w:r>
      <w:r>
        <w:t xml:space="preserve"> </w:t>
      </w:r>
      <w:r>
        <w:t xml:space="preserve">the</w:t>
      </w:r>
      <w:r>
        <w:t xml:space="preserve"> </w:t>
      </w:r>
      <w:r>
        <w:rPr>
          <w:i/>
        </w:rPr>
        <w:t xml:space="preserve">Arabidopsis</w:t>
      </w:r>
      <w:r>
        <w:rPr>
          <w:i/>
        </w:rPr>
        <w:t xml:space="preserve"> </w:t>
      </w:r>
      <w:r>
        <w:rPr>
          <w:i/>
        </w:rPr>
        <w:t xml:space="preserve">thaliana</w:t>
      </w:r>
      <w:r>
        <w:t xml:space="preserve"> </w:t>
      </w:r>
      <w:r>
        <w:t xml:space="preserve">1001</w:t>
      </w:r>
      <w:r>
        <w:t xml:space="preserve"> </w:t>
      </w:r>
      <w:r>
        <w:t xml:space="preserve">Genomes</w:t>
      </w:r>
      <w:r>
        <w:t xml:space="preserve"> </w:t>
      </w:r>
      <w:r>
        <w:t xml:space="preserve">Project</w:t>
      </w:r>
      <w:r>
        <w:t xml:space="preserve"> </w:t>
      </w:r>
      <w:r>
        <w:t xml:space="preserve">(</w:t>
      </w:r>
      <w:hyperlink r:id="rId21">
        <w:r>
          <w:rPr>
            <w:rStyle w:val="Hyperlink"/>
          </w:rPr>
          <w:t xml:space="preserve">http://1001genomes.org</w:t>
        </w:r>
      </w:hyperlink>
      <w:r>
        <w:t xml:space="preserve">).</w:t>
      </w:r>
      <w:r>
        <w:t xml:space="preserve"> </w:t>
      </w:r>
      <w:r>
        <w:t xml:space="preserve">ViVa</w:t>
      </w:r>
      <w:r>
        <w:t xml:space="preserve"> </w:t>
      </w:r>
      <w:r>
        <w:t xml:space="preserve">facilitates</w:t>
      </w:r>
      <w:r>
        <w:t xml:space="preserve"> </w:t>
      </w:r>
      <w:r>
        <w:t xml:space="preserve">data</w:t>
      </w:r>
      <w:r>
        <w:t xml:space="preserve"> </w:t>
      </w:r>
      <w:r>
        <w:t xml:space="preserve">mining</w:t>
      </w:r>
      <w:r>
        <w:t xml:space="preserve"> </w:t>
      </w:r>
      <w:r>
        <w:t xml:space="preserve">on</w:t>
      </w:r>
      <w:r>
        <w:t xml:space="preserve"> </w:t>
      </w:r>
      <w:r>
        <w:t xml:space="preserve">the</w:t>
      </w:r>
      <w:r>
        <w:t xml:space="preserve"> </w:t>
      </w:r>
      <w:r>
        <w:t xml:space="preserve">gene,</w:t>
      </w:r>
      <w:r>
        <w:t xml:space="preserve"> </w:t>
      </w:r>
      <w:r>
        <w:t xml:space="preserve">gene</w:t>
      </w:r>
      <w:r>
        <w:t xml:space="preserve"> </w:t>
      </w:r>
      <w:r>
        <w:t xml:space="preserve">family</w:t>
      </w:r>
      <w:r>
        <w:t xml:space="preserve"> </w:t>
      </w:r>
      <w:r>
        <w:t xml:space="preserve">or</w:t>
      </w:r>
      <w:r>
        <w:t xml:space="preserve"> </w:t>
      </w:r>
      <w:r>
        <w:t xml:space="preserve">gene</w:t>
      </w:r>
      <w:r>
        <w:t xml:space="preserve"> </w:t>
      </w:r>
      <w:r>
        <w:t xml:space="preserve">network</w:t>
      </w:r>
      <w:r>
        <w:t xml:space="preserve"> </w:t>
      </w:r>
      <w:r>
        <w:t xml:space="preserve">level.</w:t>
      </w:r>
      <w:r>
        <w:t xml:space="preserve"> </w:t>
      </w:r>
      <w:r>
        <w:t xml:space="preserve">To</w:t>
      </w:r>
      <w:r>
        <w:t xml:space="preserve"> </w:t>
      </w:r>
      <w:r>
        <w:t xml:space="preserve">test</w:t>
      </w:r>
      <w:r>
        <w:t xml:space="preserve"> </w:t>
      </w:r>
      <w:r>
        <w:t xml:space="preserve">the</w:t>
      </w:r>
      <w:r>
        <w:t xml:space="preserve"> </w:t>
      </w:r>
      <w:r>
        <w:t xml:space="preserve">utility</w:t>
      </w:r>
      <w:r>
        <w:t xml:space="preserve"> </w:t>
      </w:r>
      <w:r>
        <w:t xml:space="preserve">and</w:t>
      </w:r>
      <w:r>
        <w:t xml:space="preserve"> </w:t>
      </w:r>
      <w:r>
        <w:t xml:space="preserve">accessibility</w:t>
      </w:r>
      <w:r>
        <w:t xml:space="preserve"> </w:t>
      </w:r>
      <w:r>
        <w:t xml:space="preserve">of</w:t>
      </w:r>
      <w:r>
        <w:t xml:space="preserve"> </w:t>
      </w:r>
      <w:r>
        <w:t xml:space="preserve">ViVa,</w:t>
      </w:r>
      <w:r>
        <w:t xml:space="preserve"> </w:t>
      </w:r>
      <w:r>
        <w:t xml:space="preserve">we</w:t>
      </w:r>
      <w:r>
        <w:t xml:space="preserve"> </w:t>
      </w:r>
      <w:r>
        <w:t xml:space="preserve">assembled</w:t>
      </w:r>
      <w:r>
        <w:t xml:space="preserve"> </w:t>
      </w:r>
      <w:r>
        <w:t xml:space="preserve">a</w:t>
      </w:r>
      <w:r>
        <w:t xml:space="preserve"> </w:t>
      </w:r>
      <w:r>
        <w:t xml:space="preserve">team</w:t>
      </w:r>
      <w:r>
        <w:t xml:space="preserve"> </w:t>
      </w:r>
      <w:r>
        <w:t xml:space="preserve">with</w:t>
      </w:r>
      <w:r>
        <w:t xml:space="preserve"> </w:t>
      </w:r>
      <w:r>
        <w:t xml:space="preserve">a</w:t>
      </w:r>
      <w:r>
        <w:t xml:space="preserve"> </w:t>
      </w:r>
      <w:r>
        <w:t xml:space="preserve">range</w:t>
      </w:r>
      <w:r>
        <w:t xml:space="preserve"> </w:t>
      </w:r>
      <w:r>
        <w:t xml:space="preserve">of</w:t>
      </w:r>
      <w:r>
        <w:t xml:space="preserve"> </w:t>
      </w:r>
      <w:r>
        <w:t xml:space="preserve">expertise</w:t>
      </w:r>
      <w:r>
        <w:t xml:space="preserve"> </w:t>
      </w:r>
      <w:r>
        <w:t xml:space="preserve">within</w:t>
      </w:r>
      <w:r>
        <w:t xml:space="preserve"> </w:t>
      </w:r>
      <w:r>
        <w:t xml:space="preserve">biology</w:t>
      </w:r>
      <w:r>
        <w:t xml:space="preserve"> </w:t>
      </w:r>
      <w:r>
        <w:t xml:space="preserve">and</w:t>
      </w:r>
      <w:r>
        <w:t xml:space="preserve"> </w:t>
      </w:r>
      <w:r>
        <w:t xml:space="preserve">bioinformatics</w:t>
      </w:r>
      <w:r>
        <w:t xml:space="preserve"> </w:t>
      </w:r>
      <w:r>
        <w:t xml:space="preserve">to</w:t>
      </w:r>
      <w:r>
        <w:t xml:space="preserve"> </w:t>
      </w:r>
      <w:r>
        <w:t xml:space="preserve">analyze</w:t>
      </w:r>
      <w:r>
        <w:t xml:space="preserve"> </w:t>
      </w:r>
      <w:r>
        <w:t xml:space="preserve">the</w:t>
      </w:r>
      <w:r>
        <w:t xml:space="preserve"> </w:t>
      </w:r>
      <w:r>
        <w:t xml:space="preserve">natural</w:t>
      </w:r>
      <w:r>
        <w:t xml:space="preserve"> </w:t>
      </w:r>
      <w:r>
        <w:t xml:space="preserve">variation</w:t>
      </w:r>
      <w:r>
        <w:t xml:space="preserve"> </w:t>
      </w:r>
      <w:r>
        <w:t xml:space="preserve">within</w:t>
      </w:r>
      <w:r>
        <w:t xml:space="preserve"> </w:t>
      </w:r>
      <w:r>
        <w:t xml:space="preserve">the</w:t>
      </w:r>
      <w:r>
        <w:t xml:space="preserve"> </w:t>
      </w:r>
      <w:r>
        <w:t xml:space="preserve">well-studied</w:t>
      </w:r>
      <w:r>
        <w:t xml:space="preserve"> </w:t>
      </w:r>
      <w:r>
        <w:t xml:space="preserve">nuclear</w:t>
      </w:r>
      <w:r>
        <w:t xml:space="preserve"> </w:t>
      </w:r>
      <w:r>
        <w:t xml:space="preserve">auxin</w:t>
      </w:r>
      <w:r>
        <w:t xml:space="preserve"> </w:t>
      </w:r>
      <w:r>
        <w:t xml:space="preserve">signaling</w:t>
      </w:r>
      <w:r>
        <w:t xml:space="preserve"> </w:t>
      </w:r>
      <w:r>
        <w:t xml:space="preserve">pathway.</w:t>
      </w:r>
      <w:r>
        <w:t xml:space="preserve"> </w:t>
      </w:r>
      <w:r>
        <w:t xml:space="preserve">Our</w:t>
      </w:r>
      <w:r>
        <w:t xml:space="preserve"> </w:t>
      </w:r>
      <w:r>
        <w:t xml:space="preserve">analysis</w:t>
      </w:r>
      <w:r>
        <w:t xml:space="preserve"> </w:t>
      </w:r>
      <w:r>
        <w:t xml:space="preserve">has</w:t>
      </w:r>
      <w:r>
        <w:t xml:space="preserve"> </w:t>
      </w:r>
      <w:r>
        <w:t xml:space="preserve">provided</w:t>
      </w:r>
      <w:r>
        <w:t xml:space="preserve"> </w:t>
      </w:r>
      <w:r>
        <w:t xml:space="preserve">further</w:t>
      </w:r>
      <w:r>
        <w:t xml:space="preserve"> </w:t>
      </w:r>
      <w:r>
        <w:t xml:space="preserve">confirmation</w:t>
      </w:r>
      <w:r>
        <w:t xml:space="preserve"> </w:t>
      </w:r>
      <w:r>
        <w:t xml:space="preserve">of</w:t>
      </w:r>
      <w:r>
        <w:t xml:space="preserve"> </w:t>
      </w:r>
      <w:r>
        <w:t xml:space="preserve">existing</w:t>
      </w:r>
      <w:r>
        <w:t xml:space="preserve"> </w:t>
      </w:r>
      <w:r>
        <w:t xml:space="preserve">knowledge</w:t>
      </w:r>
      <w:r>
        <w:t xml:space="preserve"> </w:t>
      </w:r>
      <w:r>
        <w:t xml:space="preserve">and</w:t>
      </w:r>
      <w:r>
        <w:t xml:space="preserve"> </w:t>
      </w:r>
      <w:r>
        <w:t xml:space="preserve">has</w:t>
      </w:r>
      <w:r>
        <w:t xml:space="preserve"> </w:t>
      </w:r>
      <w:r>
        <w:t xml:space="preserve">also</w:t>
      </w:r>
      <w:r>
        <w:t xml:space="preserve"> </w:t>
      </w:r>
      <w:r>
        <w:t xml:space="preserve">helped</w:t>
      </w:r>
      <w:r>
        <w:t xml:space="preserve"> </w:t>
      </w:r>
      <w:r>
        <w:t xml:space="preserve">generate</w:t>
      </w:r>
      <w:r>
        <w:t xml:space="preserve"> </w:t>
      </w:r>
      <w:r>
        <w:t xml:space="preserve">new</w:t>
      </w:r>
      <w:r>
        <w:t xml:space="preserve"> </w:t>
      </w:r>
      <w:r>
        <w:t xml:space="preserve">hypotheses</w:t>
      </w:r>
      <w:r>
        <w:t xml:space="preserve"> </w:t>
      </w:r>
      <w:r>
        <w:t xml:space="preserve">regarding</w:t>
      </w:r>
      <w:r>
        <w:t xml:space="preserve"> </w:t>
      </w:r>
      <w:r>
        <w:t xml:space="preserve">this</w:t>
      </w:r>
      <w:r>
        <w:t xml:space="preserve"> </w:t>
      </w:r>
      <w:r>
        <w:t xml:space="preserve">well</w:t>
      </w:r>
      <w:r>
        <w:t xml:space="preserve"> </w:t>
      </w:r>
      <w:r>
        <w:t xml:space="preserve">studied</w:t>
      </w:r>
      <w:r>
        <w:t xml:space="preserve"> </w:t>
      </w:r>
      <w:r>
        <w:t xml:space="preserve">pathway.</w:t>
      </w:r>
      <w:r>
        <w:t xml:space="preserve"> </w:t>
      </w:r>
      <w:r>
        <w:t xml:space="preserve">These</w:t>
      </w:r>
      <w:r>
        <w:t xml:space="preserve"> </w:t>
      </w:r>
      <w:r>
        <w:t xml:space="preserve">results</w:t>
      </w:r>
      <w:r>
        <w:t xml:space="preserve"> </w:t>
      </w:r>
      <w:r>
        <w:t xml:space="preserve">highlight</w:t>
      </w:r>
      <w:r>
        <w:t xml:space="preserve"> </w:t>
      </w:r>
      <w:r>
        <w:t xml:space="preserve">how</w:t>
      </w:r>
      <w:r>
        <w:t xml:space="preserve"> </w:t>
      </w:r>
      <w:r>
        <w:t xml:space="preserve">natural</w:t>
      </w:r>
      <w:r>
        <w:t xml:space="preserve"> </w:t>
      </w:r>
      <w:r>
        <w:t xml:space="preserve">variation</w:t>
      </w:r>
      <w:r>
        <w:t xml:space="preserve"> </w:t>
      </w:r>
      <w:r>
        <w:t xml:space="preserve">could</w:t>
      </w:r>
      <w:r>
        <w:t xml:space="preserve"> </w:t>
      </w:r>
      <w:r>
        <w:t xml:space="preserve">be</w:t>
      </w:r>
      <w:r>
        <w:t xml:space="preserve"> </w:t>
      </w:r>
      <w:r>
        <w:t xml:space="preserve">used</w:t>
      </w:r>
      <w:r>
        <w:t xml:space="preserve"> </w:t>
      </w:r>
      <w:r>
        <w:t xml:space="preserve">to</w:t>
      </w:r>
      <w:r>
        <w:t xml:space="preserve"> </w:t>
      </w:r>
      <w:r>
        <w:t xml:space="preserve">generate</w:t>
      </w:r>
      <w:r>
        <w:t xml:space="preserve"> </w:t>
      </w:r>
      <w:r>
        <w:t xml:space="preserve">and</w:t>
      </w:r>
      <w:r>
        <w:t xml:space="preserve"> </w:t>
      </w:r>
      <w:r>
        <w:t xml:space="preserve">test</w:t>
      </w:r>
      <w:r>
        <w:t xml:space="preserve"> </w:t>
      </w:r>
      <w:r>
        <w:t xml:space="preserve">hypotheses</w:t>
      </w:r>
      <w:r>
        <w:t xml:space="preserve"> </w:t>
      </w:r>
      <w:r>
        <w:t xml:space="preserve">about</w:t>
      </w:r>
      <w:r>
        <w:t xml:space="preserve"> </w:t>
      </w:r>
      <w:r>
        <w:t xml:space="preserve">less</w:t>
      </w:r>
      <w:r>
        <w:t xml:space="preserve"> </w:t>
      </w:r>
      <w:r>
        <w:t xml:space="preserve">studied</w:t>
      </w:r>
      <w:r>
        <w:t xml:space="preserve"> </w:t>
      </w:r>
      <w:r>
        <w:t xml:space="preserve">gene</w:t>
      </w:r>
      <w:r>
        <w:t xml:space="preserve"> </w:t>
      </w:r>
      <w:r>
        <w:t xml:space="preserve">families</w:t>
      </w:r>
      <w:r>
        <w:t xml:space="preserve"> </w:t>
      </w:r>
      <w:r>
        <w:t xml:space="preserve">and</w:t>
      </w:r>
      <w:r>
        <w:t xml:space="preserve"> </w:t>
      </w:r>
      <w:r>
        <w:t xml:space="preserve">networks,</w:t>
      </w:r>
      <w:r>
        <w:t xml:space="preserve"> </w:t>
      </w:r>
      <w:r>
        <w:t xml:space="preserve">especially</w:t>
      </w:r>
      <w:r>
        <w:t xml:space="preserve"> </w:t>
      </w:r>
      <w:r>
        <w:t xml:space="preserve">when</w:t>
      </w:r>
      <w:r>
        <w:t xml:space="preserve"> </w:t>
      </w:r>
      <w:r>
        <w:t xml:space="preserve">paired</w:t>
      </w:r>
      <w:r>
        <w:t xml:space="preserve"> </w:t>
      </w:r>
      <w:r>
        <w:t xml:space="preserve">with</w:t>
      </w:r>
      <w:r>
        <w:t xml:space="preserve"> </w:t>
      </w:r>
      <w:r>
        <w:t xml:space="preserve">biochemical</w:t>
      </w:r>
      <w:r>
        <w:t xml:space="preserve"> </w:t>
      </w:r>
      <w:r>
        <w:t xml:space="preserve">and</w:t>
      </w:r>
      <w:r>
        <w:t xml:space="preserve"> </w:t>
      </w:r>
      <w:r>
        <w:t xml:space="preserve">genetic</w:t>
      </w:r>
      <w:r>
        <w:t xml:space="preserve"> </w:t>
      </w:r>
      <w:r>
        <w:t xml:space="preserve">characterization.</w:t>
      </w:r>
      <w:r>
        <w:t xml:space="preserve"> </w:t>
      </w:r>
      <w:r>
        <w:t xml:space="preserve">ViVa</w:t>
      </w:r>
      <w:r>
        <w:t xml:space="preserve"> </w:t>
      </w:r>
      <w:r>
        <w:t xml:space="preserve">is</w:t>
      </w:r>
      <w:r>
        <w:t xml:space="preserve"> </w:t>
      </w:r>
      <w:r>
        <w:t xml:space="preserve">also</w:t>
      </w:r>
      <w:r>
        <w:t xml:space="preserve"> </w:t>
      </w:r>
      <w:r>
        <w:t xml:space="preserve">readily</w:t>
      </w:r>
      <w:r>
        <w:t xml:space="preserve"> </w:t>
      </w:r>
      <w:r>
        <w:t xml:space="preserve">extensible</w:t>
      </w:r>
      <w:r>
        <w:t xml:space="preserve"> </w:t>
      </w:r>
      <w:r>
        <w:t xml:space="preserve">to</w:t>
      </w:r>
      <w:r>
        <w:t xml:space="preserve"> </w:t>
      </w:r>
      <w:r>
        <w:t xml:space="preserve">databases</w:t>
      </w:r>
      <w:r>
        <w:t xml:space="preserve"> </w:t>
      </w:r>
      <w:r>
        <w:t xml:space="preserve">of</w:t>
      </w:r>
      <w:r>
        <w:t xml:space="preserve"> </w:t>
      </w:r>
      <w:r>
        <w:t xml:space="preserve">interspecific</w:t>
      </w:r>
      <w:r>
        <w:t xml:space="preserve"> </w:t>
      </w:r>
      <w:r>
        <w:t xml:space="preserve">genetic</w:t>
      </w:r>
      <w:r>
        <w:t xml:space="preserve"> </w:t>
      </w:r>
      <w:r>
        <w:t xml:space="preserve">variation</w:t>
      </w:r>
      <w:r>
        <w:t xml:space="preserve"> </w:t>
      </w:r>
      <w:r>
        <w:t xml:space="preserve">in</w:t>
      </w:r>
      <w:r>
        <w:t xml:space="preserve"> </w:t>
      </w:r>
      <w:r>
        <w:t xml:space="preserve">plants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organisms,</w:t>
      </w:r>
      <w:r>
        <w:t xml:space="preserve"> </w:t>
      </w:r>
      <w:r>
        <w:t xml:space="preserve">such</w:t>
      </w:r>
      <w:r>
        <w:t xml:space="preserve"> </w:t>
      </w:r>
      <w:r>
        <w:t xml:space="preserve">as</w:t>
      </w:r>
      <w:r>
        <w:t xml:space="preserve"> </w:t>
      </w:r>
      <w:r>
        <w:t xml:space="preserve">the</w:t>
      </w:r>
      <w:r>
        <w:t xml:space="preserve"> </w:t>
      </w:r>
      <w:r>
        <w:t xml:space="preserve">3,000</w:t>
      </w:r>
      <w:r>
        <w:t xml:space="preserve"> </w:t>
      </w:r>
      <w:r>
        <w:t xml:space="preserve">Rice</w:t>
      </w:r>
      <w:r>
        <w:t xml:space="preserve"> </w:t>
      </w:r>
      <w:r>
        <w:t xml:space="preserve">Genomes</w:t>
      </w:r>
      <w:r>
        <w:t xml:space="preserve"> </w:t>
      </w:r>
      <w:r>
        <w:t xml:space="preserve">Project</w:t>
      </w:r>
      <w:r>
        <w:t xml:space="preserve"> </w:t>
      </w:r>
      <w:r>
        <w:t xml:space="preserve">(</w:t>
      </w:r>
      <w:hyperlink r:id="rId22">
        <w:r>
          <w:rPr>
            <w:rStyle w:val="Hyperlink"/>
          </w:rPr>
          <w:t xml:space="preserve">http://snp-seek.irri.org/</w:t>
        </w:r>
      </w:hyperlink>
      <w:r>
        <w:t xml:space="preserve">)</w:t>
      </w:r>
      <w:r>
        <w:t xml:space="preserve"> </w:t>
      </w:r>
      <w:r>
        <w:t xml:space="preserve">and</w:t>
      </w:r>
      <w:r>
        <w:t xml:space="preserve"> </w:t>
      </w:r>
      <w:r>
        <w:t xml:space="preserve">human</w:t>
      </w:r>
      <w:r>
        <w:t xml:space="preserve"> </w:t>
      </w:r>
      <w:r>
        <w:t xml:space="preserve">genetic</w:t>
      </w:r>
      <w:r>
        <w:t xml:space="preserve"> </w:t>
      </w:r>
      <w:r>
        <w:t xml:space="preserve">variation</w:t>
      </w:r>
      <w:r>
        <w:t xml:space="preserve"> </w:t>
      </w:r>
      <w:r>
        <w:t xml:space="preserve">(</w:t>
      </w:r>
      <w:hyperlink r:id="rId23">
        <w:r>
          <w:rPr>
            <w:rStyle w:val="Hyperlink"/>
          </w:rPr>
          <w:t xml:space="preserve">https://www.ncbi.nlm.nih.gov/clinvar/</w:t>
        </w:r>
      </w:hyperlink>
      <w:r>
        <w:t xml:space="preserve">).</w:t>
      </w:r>
    </w:p>
    <w:p>
      <w:pPr>
        <w:pStyle w:val="Heading1"/>
      </w:pPr>
      <w:bookmarkStart w:id="24" w:name="intro"/>
      <w:r>
        <w:t xml:space="preserve">Introduction</w:t>
      </w:r>
      <w:bookmarkEnd w:id="24"/>
    </w:p>
    <w:p>
      <w:pPr>
        <w:pStyle w:val="FirstParagraph"/>
      </w:pPr>
      <w:r>
        <w:t xml:space="preserve">The sequencing of the first</w:t>
      </w:r>
      <w:r>
        <w:t xml:space="preserve"> </w:t>
      </w:r>
      <w:r>
        <w:rPr>
          <w:i/>
        </w:rPr>
        <w:t xml:space="preserve">Arabidopsis thaliana</w:t>
      </w:r>
      <w:r>
        <w:t xml:space="preserve"> </w:t>
      </w:r>
      <w:r>
        <w:t xml:space="preserve">genome ushered in a new era of tool development and systematic functional annotation of plant genes</w:t>
      </w:r>
      <w:r>
        <w:t xml:space="preserve"> </w:t>
      </w:r>
      <w:r>
        <w:t xml:space="preserve">(The Arabidopsis Genome Initiative</w:t>
      </w:r>
      <w:r>
        <w:t xml:space="preserve"> </w:t>
      </w:r>
      <w:hyperlink w:anchor="X30666c0eec28e2bdef91a2c7241a28e2d5f05f9">
        <w:r>
          <w:rPr>
            <w:rStyle w:val="Hyperlink"/>
          </w:rPr>
          <w:t xml:space="preserve">2000</w:t>
        </w:r>
      </w:hyperlink>
      <w:r>
        <w:t xml:space="preserve">)</w:t>
      </w:r>
      <w:r>
        <w:t xml:space="preserve">. Since that landmark effort, massive scaling of sequencing technology has allowed for the survey of genomic variation in natural</w:t>
      </w:r>
      <w:r>
        <w:t xml:space="preserve"> </w:t>
      </w:r>
      <w:r>
        <w:rPr>
          <w:i/>
        </w:rPr>
        <w:t xml:space="preserve">Arabidopsis thaliana</w:t>
      </w:r>
      <w:r>
        <w:t xml:space="preserve"> </w:t>
      </w:r>
      <w:r>
        <w:t xml:space="preserve">populations</w:t>
      </w:r>
      <w:r>
        <w:t xml:space="preserve"> </w:t>
      </w:r>
      <w:r>
        <w:t xml:space="preserve">(Nordborg et al.</w:t>
      </w:r>
      <w:r>
        <w:t xml:space="preserve"> </w:t>
      </w:r>
      <w:hyperlink w:anchor="ref-nordborg_pattern_2005">
        <w:r>
          <w:rPr>
            <w:rStyle w:val="Hyperlink"/>
          </w:rPr>
          <w:t xml:space="preserve">2005</w:t>
        </w:r>
      </w:hyperlink>
      <w:r>
        <w:t xml:space="preserve">; Borevitz et al.</w:t>
      </w:r>
      <w:r>
        <w:t xml:space="preserve"> </w:t>
      </w:r>
      <w:hyperlink w:anchor="ref-borevitz_genomewide_2007">
        <w:r>
          <w:rPr>
            <w:rStyle w:val="Hyperlink"/>
          </w:rPr>
          <w:t xml:space="preserve">2007</w:t>
        </w:r>
      </w:hyperlink>
      <w:r>
        <w:t xml:space="preserve">; Weigel and Mott</w:t>
      </w:r>
      <w:r>
        <w:t xml:space="preserve"> </w:t>
      </w:r>
      <w:hyperlink w:anchor="ref-weigel_1001_2009">
        <w:r>
          <w:rPr>
            <w:rStyle w:val="Hyperlink"/>
          </w:rPr>
          <w:t xml:space="preserve">2009</w:t>
        </w:r>
      </w:hyperlink>
      <w:r>
        <w:t xml:space="preserve">)</w:t>
      </w:r>
      <w:r>
        <w:t xml:space="preserve">. This valuable population genetics resource has led to several associations of genetic loci with phenotypic traits and provided insights into how selective pressure has influenced the evolution of plant genomes</w:t>
      </w:r>
      <w:r>
        <w:t xml:space="preserve"> </w:t>
      </w:r>
      <w:r>
        <w:t xml:space="preserve">(Long et al.</w:t>
      </w:r>
      <w:r>
        <w:t xml:space="preserve"> </w:t>
      </w:r>
      <w:hyperlink w:anchor="ref-long_massive_2013">
        <w:r>
          <w:rPr>
            <w:rStyle w:val="Hyperlink"/>
          </w:rPr>
          <w:t xml:space="preserve">2013</w:t>
        </w:r>
      </w:hyperlink>
      <w:r>
        <w:t xml:space="preserve">; Atwell et al.</w:t>
      </w:r>
      <w:r>
        <w:t xml:space="preserve"> </w:t>
      </w:r>
      <w:hyperlink w:anchor="ref-atwell_genomewide_2010">
        <w:r>
          <w:rPr>
            <w:rStyle w:val="Hyperlink"/>
          </w:rPr>
          <w:t xml:space="preserve">2010</w:t>
        </w:r>
      </w:hyperlink>
      <w:r>
        <w:t xml:space="preserve">; Clark et al.</w:t>
      </w:r>
      <w:r>
        <w:t xml:space="preserve"> </w:t>
      </w:r>
      <w:hyperlink w:anchor="ref-clark_common_2007">
        <w:r>
          <w:rPr>
            <w:rStyle w:val="Hyperlink"/>
          </w:rPr>
          <w:t xml:space="preserve">2007</w:t>
        </w:r>
      </w:hyperlink>
      <w:r>
        <w:t xml:space="preserve">)</w:t>
      </w:r>
      <w:r>
        <w:t xml:space="preserve">.</w:t>
      </w:r>
    </w:p>
    <w:p>
      <w:pPr>
        <w:pStyle w:val="BodyText"/>
      </w:pPr>
      <w:r>
        <w:t xml:space="preserve">Beyond its utility in gene discovery and understanding genome evolution, natural genetic variation provides a catalog of permissible polymorphisms that can facilitate the connection of genotype to phenotype at the gene, gene family and network scales</w:t>
      </w:r>
      <w:r>
        <w:t xml:space="preserve"> </w:t>
      </w:r>
      <w:r>
        <w:t xml:space="preserve">(Nieduszynski and Liti</w:t>
      </w:r>
      <w:r>
        <w:t xml:space="preserve"> </w:t>
      </w:r>
      <w:hyperlink w:anchor="ref-nieduszynski_sequence_2011">
        <w:r>
          <w:rPr>
            <w:rStyle w:val="Hyperlink"/>
          </w:rPr>
          <w:t xml:space="preserve">2011</w:t>
        </w:r>
      </w:hyperlink>
      <w:r>
        <w:t xml:space="preserve">; Joly-Lopez, Flowers, and Purugganan</w:t>
      </w:r>
      <w:r>
        <w:t xml:space="preserve"> </w:t>
      </w:r>
      <w:hyperlink w:anchor="ref-joly-lopez_developing_2016">
        <w:r>
          <w:rPr>
            <w:rStyle w:val="Hyperlink"/>
          </w:rPr>
          <w:t xml:space="preserve">2016</w:t>
        </w:r>
      </w:hyperlink>
      <w:r>
        <w:t xml:space="preserve">)</w:t>
      </w:r>
      <w:r>
        <w:t xml:space="preserve">. This is an especially critical resource for studying large gene families where loss of function in individual genes may have little or no phenotypic effect</w:t>
      </w:r>
      <w:r>
        <w:t xml:space="preserve"> </w:t>
      </w:r>
      <w:r>
        <w:t xml:space="preserve">(Dharmasiri et al.</w:t>
      </w:r>
      <w:r>
        <w:t xml:space="preserve"> </w:t>
      </w:r>
      <w:hyperlink w:anchor="ref-dharmasiri_plant_2005">
        <w:r>
          <w:rPr>
            <w:rStyle w:val="Hyperlink"/>
          </w:rPr>
          <w:t xml:space="preserve">2005</w:t>
        </w:r>
      </w:hyperlink>
      <w:r>
        <w:t xml:space="preserve">; Moore and Purugganan</w:t>
      </w:r>
      <w:r>
        <w:t xml:space="preserve"> </w:t>
      </w:r>
      <w:hyperlink w:anchor="ref-moore_evolutionary_2005">
        <w:r>
          <w:rPr>
            <w:rStyle w:val="Hyperlink"/>
          </w:rPr>
          <w:t xml:space="preserve">2005</w:t>
        </w:r>
      </w:hyperlink>
      <w:r>
        <w:t xml:space="preserve">; Guo</w:t>
      </w:r>
      <w:r>
        <w:t xml:space="preserve"> </w:t>
      </w:r>
      <w:hyperlink w:anchor="ref-guo_gene_2013">
        <w:r>
          <w:rPr>
            <w:rStyle w:val="Hyperlink"/>
          </w:rPr>
          <w:t xml:space="preserve">2013</w:t>
        </w:r>
      </w:hyperlink>
      <w:r>
        <w:t xml:space="preserve">)</w:t>
      </w:r>
      <w:r>
        <w:t xml:space="preserve"> </w:t>
      </w:r>
      <w:r>
        <w:t xml:space="preserve">and directed allele replacement remains time and resource-intensive</w:t>
      </w:r>
      <w:r>
        <w:t xml:space="preserve"> </w:t>
      </w:r>
      <w:r>
        <w:t xml:space="preserve">(Chen et al.</w:t>
      </w:r>
      <w:r>
        <w:t xml:space="preserve"> </w:t>
      </w:r>
      <w:hyperlink w:anchor="ref-chen_crispr_2019">
        <w:r>
          <w:rPr>
            <w:rStyle w:val="Hyperlink"/>
          </w:rPr>
          <w:t xml:space="preserve">2019</w:t>
        </w:r>
      </w:hyperlink>
      <w:r>
        <w:t xml:space="preserve">)</w:t>
      </w:r>
      <w:r>
        <w:t xml:space="preserve">. Natural variation datasets provide novel alleles and germplasm which can be examined with biochemical and genetic approaches to map sequence to function and genotype to phenotype. In human clinical medicine, massively parallel assays of variant effects stand to revolutionize genetic diagnostics and personalized medicine</w:t>
      </w:r>
      <w:r>
        <w:t xml:space="preserve"> </w:t>
      </w:r>
      <w:r>
        <w:t xml:space="preserve">(Starita et al.</w:t>
      </w:r>
      <w:r>
        <w:t xml:space="preserve"> </w:t>
      </w:r>
      <w:hyperlink w:anchor="ref-starita_variant_2017">
        <w:r>
          <w:rPr>
            <w:rStyle w:val="Hyperlink"/>
          </w:rPr>
          <w:t xml:space="preserve">2017</w:t>
        </w:r>
      </w:hyperlink>
      <w:r>
        <w:t xml:space="preserve">; Gasperini, Starita, and Shendure</w:t>
      </w:r>
      <w:r>
        <w:t xml:space="preserve"> </w:t>
      </w:r>
      <w:hyperlink w:anchor="ref-gasperini_power_2016">
        <w:r>
          <w:rPr>
            <w:rStyle w:val="Hyperlink"/>
          </w:rPr>
          <w:t xml:space="preserve">2016</w:t>
        </w:r>
      </w:hyperlink>
      <w:r>
        <w:t xml:space="preserve">; Matreyek, Stephany, and Fowler</w:t>
      </w:r>
      <w:r>
        <w:t xml:space="preserve"> </w:t>
      </w:r>
      <w:hyperlink w:anchor="ref-matreyek_platform_2017">
        <w:r>
          <w:rPr>
            <w:rStyle w:val="Hyperlink"/>
          </w:rPr>
          <w:t xml:space="preserve">2017</w:t>
        </w:r>
      </w:hyperlink>
      <w:r>
        <w:t xml:space="preserve">)</w:t>
      </w:r>
      <w:r>
        <w:t xml:space="preserve">. Similarly, we envision the use of plant natural variation datasets as a tool to revolutionize breeding and genetic engineering of crop plants by rapidly advancing our understanding of genotype/function/phenotype relationships. A proof-of-principle survey of a relatively small subset of natural variants paired with a synthetic assay of gene function successfully mapped critical functional domains of auxin receptors and identified new alleles which affect plant phenotype</w:t>
      </w:r>
      <w:r>
        <w:t xml:space="preserve"> </w:t>
      </w:r>
      <w:r>
        <w:t xml:space="preserve">(Wright et al.</w:t>
      </w:r>
      <w:r>
        <w:t xml:space="preserve"> </w:t>
      </w:r>
      <w:hyperlink w:anchor="ref-wright_insights_2017">
        <w:r>
          <w:rPr>
            <w:rStyle w:val="Hyperlink"/>
          </w:rPr>
          <w:t xml:space="preserve">2017</w:t>
        </w:r>
      </w:hyperlink>
      <w:r>
        <w:t xml:space="preserve">)</w:t>
      </w:r>
      <w:r>
        <w:t xml:space="preserve">.</w:t>
      </w:r>
    </w:p>
    <w:p>
      <w:pPr>
        <w:pStyle w:val="BodyText"/>
      </w:pPr>
      <w:r>
        <w:t xml:space="preserve">Why is the survey of natural variants not as routine as a BLAST search or ordering T-DNA insertion mutants? One reason may be the current requirement for a fairly high level of bioinformatics expertise to extract the desired information from whole genome resequencing datasets. While existing resources such as the 1001 Proteomes website</w:t>
      </w:r>
      <w:r>
        <w:t xml:space="preserve"> </w:t>
      </w:r>
      <w:r>
        <w:t xml:space="preserve">(Joshi et al.</w:t>
      </w:r>
      <w:r>
        <w:t xml:space="preserve"> </w:t>
      </w:r>
      <w:hyperlink w:anchor="ref-joshi_1001_2012">
        <w:r>
          <w:rPr>
            <w:rStyle w:val="Hyperlink"/>
          </w:rPr>
          <w:t xml:space="preserve">2012</w:t>
        </w:r>
      </w:hyperlink>
      <w:r>
        <w:t xml:space="preserve">)</w:t>
      </w:r>
      <w:r>
        <w:t xml:space="preserve"> </w:t>
      </w:r>
      <w:r>
        <w:t xml:space="preserve">and ePlant</w:t>
      </w:r>
      <w:r>
        <w:t xml:space="preserve"> </w:t>
      </w:r>
      <w:r>
        <w:t xml:space="preserve">(Waese et al.</w:t>
      </w:r>
      <w:r>
        <w:t xml:space="preserve"> </w:t>
      </w:r>
      <w:hyperlink w:anchor="ref-waese_eplant_2017">
        <w:r>
          <w:rPr>
            <w:rStyle w:val="Hyperlink"/>
          </w:rPr>
          <w:t xml:space="preserve">2017</w:t>
        </w:r>
      </w:hyperlink>
      <w:r>
        <w:t xml:space="preserve">)</w:t>
      </w:r>
      <w:r>
        <w:t xml:space="preserve"> </w:t>
      </w:r>
      <w:r>
        <w:t xml:space="preserve">facilitate access to this data at the gene scale, they do not provide comparative summaries or visualizations of variation at the gene family scale. To address this concern, we created ViVa: a webtool and R-package for</w:t>
      </w:r>
      <w:r>
        <w:t xml:space="preserve"> </w:t>
      </w:r>
      <w:r>
        <w:rPr>
          <w:b/>
        </w:rPr>
        <w:t xml:space="preserve">Vi</w:t>
      </w:r>
      <w:r>
        <w:t xml:space="preserve">sualizing</w:t>
      </w:r>
      <w:r>
        <w:t xml:space="preserve"> </w:t>
      </w:r>
      <w:r>
        <w:rPr>
          <w:b/>
        </w:rPr>
        <w:t xml:space="preserve">Va</w:t>
      </w:r>
      <w:r>
        <w:t xml:space="preserve">riation, which allows plant molecular biologists of any level access to gene-level data from the 1001 Genomes database. Using ViVa researchers may: 1) Identify polymorphisms to facilitate biochemical assays of variant effects</w:t>
      </w:r>
      <w:r>
        <w:t xml:space="preserve"> </w:t>
      </w:r>
      <w:r>
        <w:t xml:space="preserve">(Starita et al.</w:t>
      </w:r>
      <w:r>
        <w:t xml:space="preserve"> </w:t>
      </w:r>
      <w:hyperlink w:anchor="ref-starita_variant_2017">
        <w:r>
          <w:rPr>
            <w:rStyle w:val="Hyperlink"/>
          </w:rPr>
          <w:t xml:space="preserve">2017</w:t>
        </w:r>
      </w:hyperlink>
      <w:r>
        <w:t xml:space="preserve">; Wright et al.</w:t>
      </w:r>
      <w:r>
        <w:t xml:space="preserve"> </w:t>
      </w:r>
      <w:hyperlink w:anchor="ref-wright_insights_2017">
        <w:r>
          <w:rPr>
            <w:rStyle w:val="Hyperlink"/>
          </w:rPr>
          <w:t xml:space="preserve">2017</w:t>
        </w:r>
      </w:hyperlink>
      <w:r>
        <w:t xml:space="preserve">)</w:t>
      </w:r>
      <w:r>
        <w:t xml:space="preserve">; 2) Produce family-wise alignments of variants to facilitate</w:t>
      </w:r>
      <w:r>
        <w:t xml:space="preserve"> </w:t>
      </w:r>
      <w:r>
        <w:rPr>
          <w:i/>
        </w:rPr>
        <w:t xml:space="preserve">de novo</w:t>
      </w:r>
      <w:r>
        <w:t xml:space="preserve"> </w:t>
      </w:r>
      <w:r>
        <w:t xml:space="preserve">functional domain identification</w:t>
      </w:r>
      <w:r>
        <w:t xml:space="preserve"> </w:t>
      </w:r>
      <w:r>
        <w:t xml:space="preserve">(Melamed et al.</w:t>
      </w:r>
      <w:r>
        <w:t xml:space="preserve"> </w:t>
      </w:r>
      <w:hyperlink w:anchor="ref-melamed_combining_2015">
        <w:r>
          <w:rPr>
            <w:rStyle w:val="Hyperlink"/>
          </w:rPr>
          <w:t xml:space="preserve">2015</w:t>
        </w:r>
      </w:hyperlink>
      <w:r>
        <w:t xml:space="preserve">)</w:t>
      </w:r>
      <w:r>
        <w:t xml:space="preserve">; 3) Generate lists of accessions containing polymorphisms to facilitate phenotypic analysis of gene variant effects</w:t>
      </w:r>
      <w:r>
        <w:t xml:space="preserve"> </w:t>
      </w:r>
      <w:r>
        <w:t xml:space="preserve">(Park et al.</w:t>
      </w:r>
      <w:r>
        <w:t xml:space="preserve"> </w:t>
      </w:r>
      <w:hyperlink w:anchor="ref-park_distributions_2017">
        <w:r>
          <w:rPr>
            <w:rStyle w:val="Hyperlink"/>
          </w:rPr>
          <w:t xml:space="preserve">2017</w:t>
        </w:r>
      </w:hyperlink>
      <w:r>
        <w:t xml:space="preserve">)</w:t>
      </w:r>
      <w:r>
        <w:t xml:space="preserve">; and 4) Quantify metrics of genetic diversity to facilitate the study of gene, gene family, and network evolution</w:t>
      </w:r>
      <w:r>
        <w:t xml:space="preserve"> </w:t>
      </w:r>
      <w:r>
        <w:t xml:space="preserve">(Delker et al.</w:t>
      </w:r>
      <w:r>
        <w:t xml:space="preserve"> </w:t>
      </w:r>
      <w:hyperlink w:anchor="ref-delker_natural_2010">
        <w:r>
          <w:rPr>
            <w:rStyle w:val="Hyperlink"/>
          </w:rPr>
          <w:t xml:space="preserve">2010</w:t>
        </w:r>
      </w:hyperlink>
      <w:r>
        <w:t xml:space="preserve">; Kliebenstein</w:t>
      </w:r>
      <w:r>
        <w:t xml:space="preserve"> </w:t>
      </w:r>
      <w:hyperlink w:anchor="ref-kliebenstein_role_2008">
        <w:r>
          <w:rPr>
            <w:rStyle w:val="Hyperlink"/>
          </w:rPr>
          <w:t xml:space="preserve">2008</w:t>
        </w:r>
      </w:hyperlink>
      <w:r>
        <w:t xml:space="preserve">)</w:t>
      </w:r>
      <w:r>
        <w:t xml:space="preserve">. Here we present a summary of the functionality of ViVa and an analysis of the natural variation in the nuclear auxin signaling network using ViVa. To succinctly demonstrate the use of ViVa, we focus on the analysis of the</w:t>
      </w:r>
      <w:r>
        <w:t xml:space="preserve"> </w:t>
      </w:r>
      <w:r>
        <w:rPr>
          <w:i/>
        </w:rPr>
        <w:t xml:space="preserve">Aux/IAA</w:t>
      </w:r>
      <w:r>
        <w:t xml:space="preserve"> </w:t>
      </w:r>
      <w:r>
        <w:t xml:space="preserve">family; similar analyses were performed for the other nuclear auxin signaling gene families and are provided as</w:t>
      </w:r>
      <w:r>
        <w:t xml:space="preserve"> </w:t>
      </w:r>
      <w:hyperlink w:anchor="si">
        <w:r>
          <w:rPr>
            <w:rStyle w:val="Hyperlink"/>
          </w:rPr>
          <w:t xml:space="preserve">Supplemental Analysis</w:t>
        </w:r>
      </w:hyperlink>
      <w:r>
        <w:t xml:space="preserve"> </w:t>
      </w:r>
      <w:r>
        <w:t xml:space="preserve">for the interested reader.</w:t>
      </w:r>
    </w:p>
    <w:p>
      <w:pPr>
        <w:pStyle w:val="Heading1"/>
      </w:pPr>
      <w:bookmarkStart w:id="25" w:name="rd"/>
      <w:r>
        <w:t xml:space="preserve">Results and Discussion</w:t>
      </w:r>
      <w:bookmarkEnd w:id="25"/>
    </w:p>
    <w:p>
      <w:pPr>
        <w:pStyle w:val="Heading2"/>
      </w:pPr>
      <w:bookmarkStart w:id="26" w:name="an-overview-of-viva"/>
      <w:r>
        <w:t xml:space="preserve">An overview of ViVa</w:t>
      </w:r>
      <w:bookmarkEnd w:id="26"/>
    </w:p>
    <w:p>
      <w:pPr>
        <w:pStyle w:val="FirstParagraph"/>
      </w:pPr>
      <w:r>
        <w:t xml:space="preserve">ViVa, in this first iteration, is meant to visualize natural variation in the coding sequences of genes or gene families. Non-coding sequence variation is intentionally excluded from the analysis tools. This reflects challenges both in alignment of non-coding sequences and the increased difficulty in assessing the effects of variation in these regions</w:t>
      </w:r>
      <w:r>
        <w:t xml:space="preserve"> </w:t>
      </w:r>
      <w:r>
        <w:t xml:space="preserve">(Alexandre et al.</w:t>
      </w:r>
      <w:r>
        <w:t xml:space="preserve"> </w:t>
      </w:r>
      <w:hyperlink w:anchor="ref-alexandre_complex_2018">
        <w:r>
          <w:rPr>
            <w:rStyle w:val="Hyperlink"/>
          </w:rPr>
          <w:t xml:space="preserve">2018</w:t>
        </w:r>
      </w:hyperlink>
      <w:r>
        <w:t xml:space="preserve">)</w:t>
      </w:r>
      <w:r>
        <w:t xml:space="preserve">.</w:t>
      </w:r>
    </w:p>
    <w:p>
      <w:pPr>
        <w:pStyle w:val="BodyText"/>
      </w:pPr>
      <w:r>
        <w:t xml:space="preserve">The stable version of ViVa is hosted at</w:t>
      </w:r>
      <w:r>
        <w:t xml:space="preserve"> </w:t>
      </w:r>
      <w:hyperlink r:id="rId27">
        <w:r>
          <w:rPr>
            <w:rStyle w:val="Hyperlink"/>
          </w:rPr>
          <w:t xml:space="preserve">https://www.plantsynbiolab.bse.vt.edu/ViVa/</w:t>
        </w:r>
      </w:hyperlink>
      <w:r>
        <w:t xml:space="preserve">. The development version of ViVa can be accessed as a Docker container</w:t>
      </w:r>
      <w:r>
        <w:t xml:space="preserve"> </w:t>
      </w:r>
      <w:hyperlink r:id="rId28">
        <w:r>
          <w:rPr>
            <w:rStyle w:val="Hyperlink"/>
          </w:rPr>
          <w:t xml:space="preserve">https://hub.docker.com/r/wrightrc/r1001genomes/</w:t>
        </w:r>
      </w:hyperlink>
      <w:r>
        <w:t xml:space="preserve"> </w:t>
      </w:r>
      <w:r>
        <w:t xml:space="preserve">or as an R-package at</w:t>
      </w:r>
      <w:r>
        <w:t xml:space="preserve"> </w:t>
      </w:r>
      <w:hyperlink r:id="rId29">
        <w:r>
          <w:rPr>
            <w:rStyle w:val="Hyperlink"/>
          </w:rPr>
          <w:t xml:space="preserve">https://github.com/wrightrc/r1001genomes</w:t>
        </w:r>
      </w:hyperlink>
      <w:r>
        <w:t xml:space="preserve">.</w:t>
      </w:r>
    </w:p>
    <w:p>
      <w:pPr>
        <w:pStyle w:val="CaptionedFigure"/>
      </w:pPr>
      <w:r>
        <w:drawing>
          <wp:inline>
            <wp:extent cx="5334000" cy="6501105"/>
            <wp:effectExtent b="0" l="0" r="0" t="0"/>
            <wp:docPr descr="Figure 1 Key elements of the webtool (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 title="" id="1" name="Picture"/>
            <a:graphic>
              <a:graphicData uri="http://schemas.openxmlformats.org/drawingml/2006/picture">
                <pic:pic>
                  <pic:nvPicPr>
                    <pic:cNvPr descr="app_figure/App_figure.png" id="0" name="Picture"/>
                    <pic:cNvPicPr>
                      <a:picLocks noChangeArrowheads="1" noChangeAspect="1"/>
                    </pic:cNvPicPr>
                  </pic:nvPicPr>
                  <pic:blipFill>
                    <a:blip r:embed="rId30"/>
                    <a:stretch>
                      <a:fillRect/>
                    </a:stretch>
                  </pic:blipFill>
                  <pic:spPr bwMode="auto">
                    <a:xfrm>
                      <a:off x="0" y="0"/>
                      <a:ext cx="5334000" cy="6501105"/>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Key elements of the webtool</w:t>
      </w:r>
      <w:r>
        <w:t xml:space="preserve"> </w:t>
      </w:r>
      <w:r>
        <w:t xml:space="preserve">(a)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w:t>
      </w:r>
    </w:p>
    <w:p>
      <w:pPr>
        <w:pStyle w:val="CaptionedFigure"/>
      </w:pPr>
      <w:r>
        <w:drawing>
          <wp:inline>
            <wp:extent cx="5334000" cy="7425808"/>
            <wp:effectExtent b="0" l="0" r="0" t="0"/>
            <wp:docPr descr="Figure 2 ViVa workflow (a) Workflow diagram of ViVa. Blue indicates user actions, yellow indicates processing steps performed by the application. (b) Detailed look at mapping tab parameters: User selects which genes to look at (1) then clicks the Submit button (2). The “Allele selection” pane is then filled in with all non-reference variants meeting the criteria. The user can adjust the range of nucleotide diversity and the type of SNP with a slider and radio buttons (3) to make the list of variants a manageable size. The list of variants is updated as changes are made to these controls. The user then selects variants to display on the map (4). Clicking the Update Map button (5) populates the map below with points located at the collection coordinates of each accession and colored by the selected alleles. (c) Detailed look at the browser tab options: The user first selects which genes to analyze and clicks submit (1). The “hide 0|0 genotype?” 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clicks the Apply Filters button (5) to update the table. The table is updated such that only rows that meet all filter conditions are displayed." title="" id="1" name="Picture"/>
            <a:graphic>
              <a:graphicData uri="http://schemas.openxmlformats.org/drawingml/2006/picture">
                <pic:pic>
                  <pic:nvPicPr>
                    <pic:cNvPr descr="app_figure/workflow_fig.png" id="0" name="Picture"/>
                    <pic:cNvPicPr>
                      <a:picLocks noChangeArrowheads="1" noChangeAspect="1"/>
                    </pic:cNvPicPr>
                  </pic:nvPicPr>
                  <pic:blipFill>
                    <a:blip r:embed="rId31"/>
                    <a:stretch>
                      <a:fillRect/>
                    </a:stretch>
                  </pic:blipFill>
                  <pic:spPr bwMode="auto">
                    <a:xfrm>
                      <a:off x="0" y="0"/>
                      <a:ext cx="5334000" cy="7425808"/>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ViVa workflow</w:t>
      </w:r>
      <w:r>
        <w:t xml:space="preserve"> </w:t>
      </w:r>
      <w:r>
        <w:t xml:space="preserve">(a) Workflow diagram of ViVa. Blue indicates user actions, yellow indicates processing steps performed by the application. (b) Detailed look at mapping tab parameters: User selects which genes to look at (1) then clicks the Submit button (2). The</w:t>
      </w:r>
      <w:r>
        <w:t xml:space="preserve"> </w:t>
      </w:r>
      <w:r>
        <w:t xml:space="preserve">“</w:t>
      </w:r>
      <w:r>
        <w:t xml:space="preserve">Allele selection</w:t>
      </w:r>
      <w:r>
        <w:t xml:space="preserve">”</w:t>
      </w:r>
      <w:r>
        <w:t xml:space="preserve"> </w:t>
      </w:r>
      <w:r>
        <w:t xml:space="preserve">pane is then filled in with all non-reference variants meeting the criteria. The user can adjust the range of nucleotide diversity and the type of SNP with a slider and radio buttons (3) to make the list of variants a manageable size. The list of variants is updated as changes are made to these controls. The user then selects variants to display on the map (4). Clicking the Update Map button (5) populates the map below with points located at the collection coordinates of each accession and colored by the selected alleles. (c) Detailed look at the browser tab options: The user first selects which genes to analyze and clicks submit (1). The</w:t>
      </w:r>
      <w:r>
        <w:t xml:space="preserve"> </w:t>
      </w:r>
      <w:r>
        <w:t xml:space="preserve">“</w:t>
      </w:r>
      <w:r>
        <w:t xml:space="preserve">hide 0|0 genotype?</w:t>
      </w:r>
      <w:r>
        <w:t xml:space="preserve">”</w:t>
      </w:r>
      <w:r>
        <w:t xml:space="preserve"> </w:t>
      </w:r>
      <w:r>
        <w:t xml:space="preserve">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clicks the Apply Filters button (5) to update the table. The table is updated such that only rows that meet all filter conditions are displayed.</w:t>
      </w:r>
    </w:p>
    <w:p>
      <w:pPr>
        <w:pStyle w:val="Heading3"/>
      </w:pPr>
      <w:bookmarkStart w:id="32" w:name="gene-select-and-annotation-files"/>
      <w:r>
        <w:t xml:space="preserve">Gene Select and Annotation Files</w:t>
      </w:r>
      <w:bookmarkEnd w:id="32"/>
    </w:p>
    <w:p>
      <w:pPr>
        <w:pStyle w:val="FirstParagraph"/>
      </w:pPr>
      <w:r>
        <w:t xml:space="preserve">At the top of the ViVa webtool are two collapsible panels used for entering the genes to query and custom annotations for those genes (Figure</w:t>
      </w:r>
      <w:r>
        <w:t xml:space="preserve"> </w:t>
      </w:r>
      <w:r>
        <w:t xml:space="preserve">1</w:t>
      </w:r>
      <w:r>
        <w:t xml:space="preserve">a and</w:t>
      </w:r>
      <w:r>
        <w:t xml:space="preserve"> </w:t>
      </w:r>
      <w:r>
        <w:t xml:space="preserve">2</w:t>
      </w:r>
      <w:r>
        <w:t xml:space="preserve">a). The Gene Select panel permits gene input by either typing in or uploading a .csv file of AGI/TAIR locus identifiers. The Annotation Files panel is optionally used to upload an annotation file containing coordinates of domains, mutations, or any other sequence knowledge that can be plotted on some of the tabs of the ViVa analysis tabs.</w:t>
      </w:r>
    </w:p>
    <w:p>
      <w:pPr>
        <w:pStyle w:val="BodyText"/>
      </w:pPr>
      <w:r>
        <w:t xml:space="preserve">Below the data input section, the rest of the webtool is divided into several tabs containing interactive output.</w:t>
      </w:r>
    </w:p>
    <w:p>
      <w:pPr>
        <w:pStyle w:val="Heading3"/>
      </w:pPr>
      <w:bookmarkStart w:id="33" w:name="Xf0dbde32c84e18c68819cbe7f13ee503ecade60"/>
      <w:r>
        <w:t xml:space="preserve">SNP Stats: Summary of gene information, structure, and diversity</w:t>
      </w:r>
      <w:bookmarkEnd w:id="33"/>
    </w:p>
    <w:p>
      <w:pPr>
        <w:pStyle w:val="FirstParagraph"/>
      </w:pPr>
      <w:r>
        <w:t xml:space="preserve">The SNP Stats tab provides general information on the gene transcripts being queried, as well as calculated counts/statistics on the content of variants found in the sample population (Figure</w:t>
      </w:r>
      <w:r>
        <w:t xml:space="preserve"> </w:t>
      </w:r>
      <w:r>
        <w:t xml:space="preserve">1</w:t>
      </w:r>
      <w:r>
        <w:t xml:space="preserve">b). The first table of this section is basic information about the transcripts, including TAIR locus and symbol, the chromosomal start and end position, and the transcript length. This information was collected from the Araport11 Official Release (06/2016) annotation dataset</w:t>
      </w:r>
      <w:r>
        <w:t xml:space="preserve"> </w:t>
      </w:r>
      <w:r>
        <w:t xml:space="preserve">(Cheng et al.</w:t>
      </w:r>
      <w:r>
        <w:t xml:space="preserve"> </w:t>
      </w:r>
      <w:hyperlink w:anchor="ref-cheng_araport11_2017">
        <w:r>
          <w:rPr>
            <w:rStyle w:val="Hyperlink"/>
          </w:rPr>
          <w:t xml:space="preserve">2017</w:t>
        </w:r>
      </w:hyperlink>
      <w:r>
        <w:t xml:space="preserve">)</w:t>
      </w:r>
      <w:r>
        <w:t xml:space="preserve">.</w:t>
      </w:r>
    </w:p>
    <w:p>
      <w:pPr>
        <w:pStyle w:val="BodyText"/>
      </w:pPr>
      <w:r>
        <w:t xml:space="preserve">The next two tables provide counts of SNPs across the gene body for each transcript. The Total Polymorphism Counts table provides the total number of variant observations of non-reference alleles categorized by type and location (the Col-0 accession TAIR9 genome is the reference genome for this dataset). The Unique Allele Count table only counts the number of unique variant alleles within the population of accessions (</w:t>
      </w:r>
      <w:r>
        <w:rPr>
          <w:i/>
        </w:rPr>
        <w:t xml:space="preserve">e.g.</w:t>
      </w:r>
      <w:r>
        <w:t xml:space="preserve"> </w:t>
      </w:r>
      <w:r>
        <w:t xml:space="preserve">if multiple accessions have the same variant, these are counted as a single allele at that position).</w:t>
      </w:r>
    </w:p>
    <w:p>
      <w:pPr>
        <w:pStyle w:val="BodyText"/>
      </w:pPr>
      <w:r>
        <w:t xml:space="preserve">The Nucleotide Diversity Statistics table provides nucleotide diversity statistic (</w:t>
      </w:r>
      <m:oMath>
        <m:r>
          <m:t>π</m:t>
        </m:r>
      </m:oMath>
      <w:r>
        <w:t xml:space="preserve">) values for the transcript and the coding sequence of each gene</w:t>
      </w:r>
      <w:r>
        <w:t xml:space="preserve"> </w:t>
      </w:r>
      <w:r>
        <w:t xml:space="preserve">(Nei and Li</w:t>
      </w:r>
      <w:r>
        <w:t xml:space="preserve"> </w:t>
      </w:r>
      <w:hyperlink w:anchor="ref-nei_mathematical_1979">
        <w:r>
          <w:rPr>
            <w:rStyle w:val="Hyperlink"/>
          </w:rPr>
          <w:t xml:space="preserve">1979</w:t>
        </w:r>
      </w:hyperlink>
      <w:r>
        <w:t xml:space="preserve">)</w:t>
      </w:r>
      <w:r>
        <w:t xml:space="preserve">. Given a set of nucleotide sequences from a population,</w:t>
      </w:r>
      <w:r>
        <w:t xml:space="preserve"> </w:t>
      </w:r>
      <m:oMath>
        <m:r>
          <m:t>π</m:t>
        </m:r>
      </m:oMath>
      <w:r>
        <w:t xml:space="preserve"> </w:t>
      </w:r>
      <w:r>
        <w:t xml:space="preserve">is the average number of nucleotide differences per site. Nucleotide diversity is also calculated for the set of only synonymous (</w:t>
      </w:r>
      <m:oMath>
        <m:sSub>
          <m:e>
            <m:r>
              <m:t>π</m:t>
            </m:r>
          </m:e>
          <m:sub>
            <m:r>
              <m:t>S</m:t>
            </m:r>
          </m:sub>
        </m:sSub>
      </m:oMath>
      <w:r>
        <w:t xml:space="preserve">) and only nonsynonymous polymorphisms (</w:t>
      </w:r>
      <m:oMath>
        <m:sSub>
          <m:e>
            <m:r>
              <m:t>π</m:t>
            </m:r>
          </m:e>
          <m:sub>
            <m:r>
              <m:t>N</m:t>
            </m:r>
          </m:sub>
        </m:sSub>
      </m:oMath>
      <w:r>
        <w:t xml:space="preserve">). As nonsynonymous polymorphisms are more likely to give rise to functional change than synonymous polymorphisms, the ratio of the presence of nonsynonymous to synonymous polymorphisms provides a measure of the potential for functional diversity</w:t>
      </w:r>
      <w:r>
        <w:t xml:space="preserve"> </w:t>
      </w:r>
      <w:r>
        <w:t xml:space="preserve">(Firnberg and Ostermeier</w:t>
      </w:r>
      <w:r>
        <w:t xml:space="preserve"> </w:t>
      </w:r>
      <w:hyperlink w:anchor="ref-firnberg_genetic_2013">
        <w:r>
          <w:rPr>
            <w:rStyle w:val="Hyperlink"/>
          </w:rPr>
          <w:t xml:space="preserve">2013</w:t>
        </w:r>
      </w:hyperlink>
      <w:r>
        <w:t xml:space="preserve">; Whitehead et al.</w:t>
      </w:r>
      <w:r>
        <w:t xml:space="preserve"> </w:t>
      </w:r>
      <w:hyperlink w:anchor="ref-whitehead_optimization_2012">
        <w:r>
          <w:rPr>
            <w:rStyle w:val="Hyperlink"/>
          </w:rPr>
          <w:t xml:space="preserve">2012</w:t>
        </w:r>
      </w:hyperlink>
      <w:r>
        <w:t xml:space="preserve">)</w:t>
      </w:r>
      <w:r>
        <w:t xml:space="preserve">. We present</w:t>
      </w:r>
      <w:r>
        <w:t xml:space="preserve"> </w:t>
      </w:r>
      <m:oMath>
        <m:sSub>
          <m:e>
            <m:r>
              <m:t>π</m:t>
            </m:r>
          </m:e>
          <m:sub>
            <m:r>
              <m:t>N</m:t>
            </m:r>
          </m:sub>
        </m:sSub>
        <m:r>
          <m:t>/</m:t>
        </m:r>
        <m:sSub>
          <m:e>
            <m:r>
              <m:t>π</m:t>
            </m:r>
          </m:e>
          <m:sub>
            <m:r>
              <m:t>S</m:t>
            </m:r>
          </m:sub>
        </m:sSub>
      </m:oMath>
      <w:r>
        <w:t xml:space="preserve">, the ratio of nonsynonymous to synonymous diversity here as a correlate for functional diversity throughout ViVa</w:t>
      </w:r>
      <w:r>
        <w:t xml:space="preserve"> </w:t>
      </w:r>
      <w:r>
        <w:t xml:space="preserve">(Nelson, Moncla, and Hughes</w:t>
      </w:r>
      <w:r>
        <w:t xml:space="preserve"> </w:t>
      </w:r>
      <w:hyperlink w:anchor="ref-nelson_snpgenie_2015">
        <w:r>
          <w:rPr>
            <w:rStyle w:val="Hyperlink"/>
          </w:rPr>
          <w:t xml:space="preserve">2015</w:t>
        </w:r>
      </w:hyperlink>
      <w:r>
        <w:t xml:space="preserve">; Hughes et al.</w:t>
      </w:r>
      <w:r>
        <w:t xml:space="preserve"> </w:t>
      </w:r>
      <w:hyperlink w:anchor="ref-hughes_adaptive_2000">
        <w:r>
          <w:rPr>
            <w:rStyle w:val="Hyperlink"/>
          </w:rPr>
          <w:t xml:space="preserve">2000</w:t>
        </w:r>
      </w:hyperlink>
      <w:r>
        <w:t xml:space="preserve">)</w:t>
      </w:r>
      <w:r>
        <w:t xml:space="preserve">. While imperfect, this metric may be suggestive of functional constraint when</w:t>
      </w:r>
      <w:r>
        <w:t xml:space="preserve"> </w:t>
      </w:r>
      <m:oMath>
        <m:sSub>
          <m:e>
            <m:r>
              <m:t>π</m:t>
            </m:r>
          </m:e>
          <m:sub>
            <m:r>
              <m:t>N</m:t>
            </m:r>
          </m:sub>
        </m:sSub>
        <m:r>
          <m:t>/</m:t>
        </m:r>
        <m:sSub>
          <m:e>
            <m:r>
              <m:t>π</m:t>
            </m:r>
          </m:e>
          <m:sub>
            <m:r>
              <m:t>S</m:t>
            </m:r>
          </m:sub>
        </m:sSub>
        <m:r>
          <m:t>&lt;</m:t>
        </m:r>
        <m:r>
          <m:t>&lt;</m:t>
        </m:r>
        <m:r>
          <m:t>1</m:t>
        </m:r>
      </m:oMath>
      <w:r>
        <w:t xml:space="preserve"> </w:t>
      </w:r>
      <w:r>
        <w:t xml:space="preserve">and functional diversity when</w:t>
      </w:r>
      <w:r>
        <w:t xml:space="preserve"> </w:t>
      </w:r>
      <m:oMath>
        <m:sSub>
          <m:e>
            <m:r>
              <m:t>π</m:t>
            </m:r>
          </m:e>
          <m:sub>
            <m:r>
              <m:t>N</m:t>
            </m:r>
          </m:sub>
        </m:sSub>
        <m:r>
          <m:t>/</m:t>
        </m:r>
        <m:sSub>
          <m:e>
            <m:r>
              <m:t>π</m:t>
            </m:r>
          </m:e>
          <m:sub>
            <m:r>
              <m:t>S</m:t>
            </m:r>
          </m:sub>
        </m:sSub>
        <m:r>
          <m:t>&gt;</m:t>
        </m:r>
        <m:r>
          <m:t>&gt;</m:t>
        </m:r>
        <m:r>
          <m:t>1</m:t>
        </m:r>
      </m:oMath>
      <w:r>
        <w:t xml:space="preserve"> </w:t>
      </w:r>
      <w:r>
        <w:t xml:space="preserve">(Hughes</w:t>
      </w:r>
      <w:r>
        <w:t xml:space="preserve"> </w:t>
      </w:r>
      <w:hyperlink w:anchor="ref-hughes_adaptive_1999">
        <w:r>
          <w:rPr>
            <w:rStyle w:val="Hyperlink"/>
          </w:rPr>
          <w:t xml:space="preserve">1999</w:t>
        </w:r>
      </w:hyperlink>
      <w:r>
        <w:t xml:space="preserve">)</w:t>
      </w:r>
      <w:r>
        <w:t xml:space="preserve">.</w:t>
      </w:r>
    </w:p>
    <w:p>
      <w:pPr>
        <w:pStyle w:val="Heading3"/>
      </w:pPr>
      <w:bookmarkStart w:id="34" w:name="X4b0054719e8d449d83da3e16b3838bc0233b7a6"/>
      <w:r>
        <w:t xml:space="preserve">Diversity plot: Visualize allelic diversity across the coding sequence</w:t>
      </w:r>
      <w:bookmarkEnd w:id="34"/>
    </w:p>
    <w:p>
      <w:pPr>
        <w:pStyle w:val="FirstParagraph"/>
      </w:pPr>
      <w:r>
        <w:t xml:space="preserve">The Diversity Plot tab shows the nucleotide diversity of each variant in the coding region of a selected gene (Figure</w:t>
      </w:r>
      <w:r>
        <w:t xml:space="preserve"> </w:t>
      </w:r>
      <w:r>
        <w:t xml:space="preserve">1</w:t>
      </w:r>
      <w:r>
        <w:t xml:space="preserve">c and</w:t>
      </w:r>
      <w:r>
        <w:t xml:space="preserve"> </w:t>
      </w:r>
      <w:r>
        <w:t xml:space="preserve">7</w:t>
      </w:r>
      <w:r>
        <w:t xml:space="preserve">). Although the X-axis is marked by codon number from the N-terminus for interpretability, the diversity values are based on single nucleotide sites. The colors of markers on the plot identify the effect of the polymorphism. If annotation files are provided, the background of the plot is color-coded by the annotated regions. If points on the plot are selected by clicking and dragging a box over them, the data for the selected points appears in the grey box below the plot. Below this is a complete data table containing all points on the plot which can be downloaded as a .csv file. This tab allows users to identify regions of high diversity as well as isolate polymorphisms that may affect gene function and exist in multiple accessions, facilitating phenotypic analysis.</w:t>
      </w:r>
    </w:p>
    <w:p>
      <w:pPr>
        <w:pStyle w:val="Heading3"/>
      </w:pPr>
      <w:bookmarkStart w:id="35" w:name="Xaa6dd2a00e2c1af645b7669ce35853ff1f9b40d"/>
      <w:r>
        <w:t xml:space="preserve">SNP Mapping: View distributions of SNPs across the globe</w:t>
      </w:r>
      <w:bookmarkEnd w:id="35"/>
    </w:p>
    <w:p>
      <w:pPr>
        <w:pStyle w:val="FirstParagraph"/>
      </w:pPr>
      <w:r>
        <w:t xml:space="preserve">The SNP Mapping tab plots the accessions’ collection locations on a world map and colors the points based on selected variant alleles (Figure</w:t>
      </w:r>
      <w:r>
        <w:t xml:space="preserve"> </w:t>
      </w:r>
      <w:r>
        <w:t xml:space="preserve">1</w:t>
      </w:r>
      <w:r>
        <w:t xml:space="preserve">d). After the user selects genes and filters based on the SNP type and level of nucleotide diversity, a group of checkboxes becomes available to select variant alleles to display on the map (Figure</w:t>
      </w:r>
      <w:r>
        <w:t xml:space="preserve"> </w:t>
      </w:r>
      <w:r>
        <w:t xml:space="preserve">2</w:t>
      </w:r>
      <w:r>
        <w:t xml:space="preserve">b and</w:t>
      </w:r>
      <w:r>
        <w:t xml:space="preserve"> </w:t>
      </w:r>
      <w:r>
        <w:t xml:space="preserve">10</w:t>
      </w:r>
      <w:r>
        <w:t xml:space="preserve">). The variant alleles are labeled with the Transcript_ID and Amino_Acid_Change fields, in the form [Transcript_ID|Amino_Acid_Change]. After selecting the variant alleles and updating the map, the accessions are plotted on the map colored by each unique combination of the selected alleles. Below the map is a table containing the accession details for all mapped accessions. This tab may help users formulate hypotheses about the relatedness of accessions sharing a common allele and environments in which that allele may be favorable.</w:t>
      </w:r>
    </w:p>
    <w:p>
      <w:pPr>
        <w:pStyle w:val="Heading3"/>
      </w:pPr>
      <w:bookmarkStart w:id="36" w:name="Xa8148d0ca1d16cacaec1635c1858694a21d523a"/>
      <w:r>
        <w:t xml:space="preserve">SNP Browser: Filter and search for variants</w:t>
      </w:r>
      <w:bookmarkEnd w:id="36"/>
    </w:p>
    <w:p>
      <w:pPr>
        <w:pStyle w:val="FirstParagraph"/>
      </w:pPr>
      <w:r>
        <w:t xml:space="preserve">The SNP Browser tab provides a way to search and filter the variant data by different fields (Figure</w:t>
      </w:r>
      <w:r>
        <w:t xml:space="preserve"> </w:t>
      </w:r>
      <w:r>
        <w:t xml:space="preserve">1</w:t>
      </w:r>
      <w:r>
        <w:t xml:space="preserve">e). After selecting the transcripts to include, a number of filters can be applied to the dataset to match text values (e.g. gene name or variant effect) or set minimum and maximum limits on the values of numeric fields (e.g. nucleotide diversity) (</w:t>
      </w:r>
      <w:r>
        <w:t xml:space="preserve">2</w:t>
      </w:r>
      <w:r>
        <w:t xml:space="preserve">c). When these filters are applied, the table below is updated to only contain rows meeting the criteria for all filters. This tab can be useful for identifying all accessions with a particular allele, or any non-reference alleles in a particular region of a gene that may not have been easily accessible in another tab.</w:t>
      </w:r>
    </w:p>
    <w:p>
      <w:pPr>
        <w:pStyle w:val="Heading3"/>
      </w:pPr>
      <w:bookmarkStart w:id="37" w:name="X3cb5d233d3e6af68c878cd5935eff01d52000e8"/>
      <w:r>
        <w:t xml:space="preserve">Alignments: Visualize SNPs on alignments of homologous genes</w:t>
      </w:r>
      <w:bookmarkEnd w:id="37"/>
    </w:p>
    <w:p>
      <w:pPr>
        <w:pStyle w:val="FirstParagraph"/>
      </w:pPr>
      <w:r>
        <w:t xml:space="preserve">The Alignments tab provides DNA and amino acid sequence alignments of selected genes, colored according to the variant allele with the strongest functional effect at each position (Figure</w:t>
      </w:r>
      <w:r>
        <w:t xml:space="preserve"> </w:t>
      </w:r>
      <w:r>
        <w:t xml:space="preserve">1</w:t>
      </w:r>
      <w:r>
        <w:t xml:space="preserve">f and</w:t>
      </w:r>
      <w:r>
        <w:t xml:space="preserve"> </w:t>
      </w:r>
      <w:r>
        <w:t xml:space="preserve">3</w:t>
      </w:r>
      <w:r>
        <w:t xml:space="preserve">, for a full description of the color scale see Figure</w:t>
      </w:r>
      <w:r>
        <w:t xml:space="preserve"> </w:t>
      </w:r>
      <w:r>
        <w:t xml:space="preserve">5</w:t>
      </w:r>
      <w:r>
        <w:t xml:space="preserve">). The content of this tab is most useful if the selected genes are all family members or have significant sequence homology. If annotation files are uploaded, open boxes will be overlaid on the alignment, colored by annotation. Hovering the cursor over variants will provide additional details about the alleles present at that locus. This tab facilitates family-wise analysis of functional conservation, allowing users to identify potential functional regions and alleles which may be useful in deciphering this function.</w:t>
      </w:r>
    </w:p>
    <w:p>
      <w:pPr>
        <w:pStyle w:val="Heading3"/>
      </w:pPr>
      <w:bookmarkStart w:id="38" w:name="X5776d9ea1907dbb7c43ce263df26eecabdbf84c"/>
      <w:r>
        <w:t xml:space="preserve">Gene Tree: Visualize functional diversity and sequence divergence of a gene family</w:t>
      </w:r>
      <w:bookmarkEnd w:id="38"/>
    </w:p>
    <w:p>
      <w:pPr>
        <w:pStyle w:val="FirstParagraph"/>
      </w:pPr>
      <w:r>
        <w:t xml:space="preserve">The Gene Tree tab provides a neighbor joining tree (or uploaded tree created by the user) for the selected genes with the tips of the tree mapped with predicted functional diversity as represented by</w:t>
      </w:r>
      <w:r>
        <w:t xml:space="preserve"> </w:t>
      </w:r>
      <m:oMath>
        <m:sSub>
          <m:e>
            <m:r>
              <m:t>π</m:t>
            </m:r>
          </m:e>
          <m:sub>
            <m:r>
              <m:t>N</m:t>
            </m:r>
          </m:sub>
        </m:sSub>
        <m:r>
          <m:t>/</m:t>
        </m:r>
        <m:sSub>
          <m:e>
            <m:r>
              <m:t>π</m:t>
            </m:r>
          </m:e>
          <m:sub>
            <m:r>
              <m:t>S</m:t>
            </m:r>
          </m:sub>
        </m:sSub>
      </m:oMath>
      <w:r>
        <w:t xml:space="preserve"> </w:t>
      </w:r>
      <w:r>
        <w:t xml:space="preserve">in the 1001 Genomes dataset (Figure</w:t>
      </w:r>
      <w:r>
        <w:t xml:space="preserve"> </w:t>
      </w:r>
      <w:r>
        <w:t xml:space="preserve">4</w:t>
      </w:r>
      <w:r>
        <w:t xml:space="preserve">). This tab allows users to generate hypotheses regarding functional diversity and redundancy within the context of the predicted evolution of the gene family.</w:t>
      </w:r>
    </w:p>
    <w:p>
      <w:pPr>
        <w:pStyle w:val="Heading3"/>
      </w:pPr>
      <w:bookmarkStart w:id="39" w:name="X128b377163e5eec6b3d46db281ab1d13b8d534b"/>
      <w:r>
        <w:t xml:space="preserve">ViVa R package: Programmatic access to ViVa’s functionality</w:t>
      </w:r>
      <w:bookmarkEnd w:id="39"/>
    </w:p>
    <w:p>
      <w:pPr>
        <w:pStyle w:val="FirstParagraph"/>
      </w:pPr>
      <w:r>
        <w:t xml:space="preserve">All of the functionalities of the ViVa webtool are implemented through functions within the ViVa R package. In addition to being able to generate the same sets of figures and tables as in the webtool, users of the R package also gain direct access to the underlying data structures, providing greater control over parameters when processing and visualizing the data. The ViVa R package is intended for users familiar with R programming who want to extend the capabilities of the webtool. The ViVa R package can be found at</w:t>
      </w:r>
      <w:r>
        <w:t xml:space="preserve"> </w:t>
      </w:r>
      <w:hyperlink r:id="rId29">
        <w:r>
          <w:rPr>
            <w:rStyle w:val="Hyperlink"/>
          </w:rPr>
          <w:t xml:space="preserve">https://github.com/wrightrc/r1001genomes</w:t>
        </w:r>
      </w:hyperlink>
      <w:r>
        <w:t xml:space="preserve"> </w:t>
      </w:r>
      <w:r>
        <w:t xml:space="preserve">and can be installed in your R environment via the</w:t>
      </w:r>
      <w:r>
        <w:t xml:space="preserve"> </w:t>
      </w:r>
      <w:r>
        <w:rPr>
          <w:rStyle w:val="VerbatimChar"/>
        </w:rPr>
        <w:t xml:space="preserve">devtools</w:t>
      </w:r>
      <w:r>
        <w:t xml:space="preserve"> </w:t>
      </w:r>
      <w:r>
        <w:t xml:space="preserve">package:</w:t>
      </w:r>
      <w:r>
        <w:t xml:space="preserve"> </w:t>
      </w:r>
      <w:r>
        <w:rPr>
          <w:rStyle w:val="VerbatimChar"/>
        </w:rPr>
        <w:t xml:space="preserve">remotes::install_github("wrightrc/r1001genomes")</w:t>
      </w:r>
      <w:r>
        <w:t xml:space="preserve">.</w:t>
      </w:r>
    </w:p>
    <w:p>
      <w:pPr>
        <w:pStyle w:val="Heading2"/>
      </w:pPr>
      <w:bookmarkStart w:id="40" w:name="X9335cc98864530d7d7e717cb9bfd7e73e2e18f0"/>
      <w:r>
        <w:t xml:space="preserve">Visualizing Variation within the auxin signaling pathway</w:t>
      </w:r>
      <w:bookmarkEnd w:id="40"/>
    </w:p>
    <w:p>
      <w:pPr>
        <w:pStyle w:val="FirstParagraph"/>
      </w:pPr>
      <w:r>
        <w:t xml:space="preserve">To test the usability and accessibility of ViVa, we assembled a group of alpha testers comprising postdoctoral, graduate, and undergraduate researchers at a research university (University of Washington) and at a primarily-undergraduate institution (Whitman College). Our testers focused their investigation of natural variation on the nuclear auxin signaling pathway. We selected this signaling pathway for multiple reasons including a wealth of functional data and solved structures of several domains or entire proteins. Using this existing knowledge, we were able to qualitatively assess the predictive ability of the ViVa modules. Below, we describe the results for detailed analysis of the</w:t>
      </w:r>
      <w:r>
        <w:t xml:space="preserve"> </w:t>
      </w:r>
      <w:r>
        <w:rPr>
          <w:i/>
        </w:rPr>
        <w:t xml:space="preserve">Aux/IAA</w:t>
      </w:r>
      <w:r>
        <w:t xml:space="preserve"> </w:t>
      </w:r>
      <w:r>
        <w:t xml:space="preserve">family in more detail as a brief vignette of ViVa use. Analysis of each gene family in the nuclear auxin signaling network can be found in the</w:t>
      </w:r>
      <w:r>
        <w:t xml:space="preserve"> </w:t>
      </w:r>
      <w:hyperlink w:anchor="si">
        <w:r>
          <w:rPr>
            <w:rStyle w:val="Hyperlink"/>
          </w:rPr>
          <w:t xml:space="preserve">Supplemental Analysis</w:t>
        </w:r>
      </w:hyperlink>
      <w:r>
        <w:t xml:space="preserve">.</w:t>
      </w:r>
    </w:p>
    <w:p>
      <w:pPr>
        <w:pStyle w:val="BodyText"/>
      </w:pPr>
      <w:r>
        <w:t xml:space="preserve">The Aux/IAA family plays a critical role in transmitting auxin signals. Aux/IAA degradation is triggered by auxin accumulation</w:t>
      </w:r>
      <w:r>
        <w:t xml:space="preserve"> </w:t>
      </w:r>
      <w:r>
        <w:t xml:space="preserve">(Zenser et al.</w:t>
      </w:r>
      <w:r>
        <w:t xml:space="preserve"> </w:t>
      </w:r>
      <w:hyperlink w:anchor="ref-zenser_auxin_2001">
        <w:r>
          <w:rPr>
            <w:rStyle w:val="Hyperlink"/>
          </w:rPr>
          <w:t xml:space="preserve">2001</w:t>
        </w:r>
      </w:hyperlink>
      <w:r>
        <w:t xml:space="preserve">)</w:t>
      </w:r>
      <w:r>
        <w:t xml:space="preserve"> </w:t>
      </w:r>
      <w:r>
        <w:t xml:space="preserve">and is mediated by ubiquitination via a SKP-Cullin-F-box ubiquitin ligase complex containing an Auxin-signaling F-box (AFB) auxin receptor protein</w:t>
      </w:r>
      <w:r>
        <w:t xml:space="preserve"> </w:t>
      </w:r>
      <w:r>
        <w:t xml:space="preserve">(Gray et al.</w:t>
      </w:r>
      <w:r>
        <w:t xml:space="preserve"> </w:t>
      </w:r>
      <w:hyperlink w:anchor="ref-gray_auxin_2001">
        <w:r>
          <w:rPr>
            <w:rStyle w:val="Hyperlink"/>
          </w:rPr>
          <w:t xml:space="preserve">2001</w:t>
        </w:r>
      </w:hyperlink>
      <w:r>
        <w:t xml:space="preserve">)</w:t>
      </w:r>
      <w:r>
        <w:t xml:space="preserve">. Variation in the</w:t>
      </w:r>
      <w:r>
        <w:t xml:space="preserve"> </w:t>
      </w:r>
      <w:r>
        <w:rPr>
          <w:i/>
        </w:rPr>
        <w:t xml:space="preserve">AFB</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8</w:t>
      </w:r>
      <w:r>
        <w:t xml:space="preserve">,</w:t>
      </w:r>
      <w:r>
        <w:t xml:space="preserve"> </w:t>
      </w:r>
      <w:r>
        <w:t xml:space="preserve">9</w:t>
      </w:r>
      <w:r>
        <w:t xml:space="preserve">, and</w:t>
      </w:r>
      <w:r>
        <w:t xml:space="preserve"> </w:t>
      </w:r>
      <w:r>
        <w:t xml:space="preserve">10</w:t>
      </w:r>
      <w:r>
        <w:t xml:space="preserve">). The Aux/IAAs repress transcription of Auxin Response Factor (ARF) bound genes</w:t>
      </w:r>
      <w:r>
        <w:t xml:space="preserve"> </w:t>
      </w:r>
      <w:r>
        <w:t xml:space="preserve">(Tiwari, Hagen, and Guilfoyle</w:t>
      </w:r>
      <w:r>
        <w:t xml:space="preserve"> </w:t>
      </w:r>
      <w:hyperlink w:anchor="ref-tiwari_aux_2004">
        <w:r>
          <w:rPr>
            <w:rStyle w:val="Hyperlink"/>
          </w:rPr>
          <w:t xml:space="preserve">2004</w:t>
        </w:r>
      </w:hyperlink>
      <w:r>
        <w:t xml:space="preserve">)</w:t>
      </w:r>
      <w:r>
        <w:t xml:space="preserve">, via recruitment of TOPLESS (TPL) and TOPLESS-related (TPR) co-repressors</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Variation in the</w:t>
      </w:r>
      <w:r>
        <w:t xml:space="preserve"> </w:t>
      </w:r>
      <w:r>
        <w:rPr>
          <w:i/>
        </w:rPr>
        <w:t xml:space="preserve">TPL/TPR</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11</w:t>
      </w:r>
      <w:r>
        <w:t xml:space="preserve"> </w:t>
      </w:r>
      <w:r>
        <w:t xml:space="preserve">and</w:t>
      </w:r>
      <w:r>
        <w:t xml:space="preserve"> </w:t>
      </w:r>
      <w:r>
        <w:t xml:space="preserve">12</w:t>
      </w:r>
      <w:r>
        <w:t xml:space="preserve">). Thus Aux/IAA degradation, relieves this repression allowing ARFs to activate transcription of auxin response genes</w:t>
      </w:r>
      <w:r>
        <w:t xml:space="preserve"> </w:t>
      </w:r>
      <w:r>
        <w:t xml:space="preserve">(Tiwari, Hagen, and Guilfoyle</w:t>
      </w:r>
      <w:r>
        <w:t xml:space="preserve"> </w:t>
      </w:r>
      <w:hyperlink w:anchor="ref-tiwari_roles_2003">
        <w:r>
          <w:rPr>
            <w:rStyle w:val="Hyperlink"/>
          </w:rPr>
          <w:t xml:space="preserve">2003</w:t>
        </w:r>
      </w:hyperlink>
      <w:r>
        <w:t xml:space="preserve">)</w:t>
      </w:r>
      <w:r>
        <w:t xml:space="preserve">. Variation in the</w:t>
      </w:r>
      <w:r>
        <w:t xml:space="preserve"> </w:t>
      </w:r>
      <w:r>
        <w:rPr>
          <w:i/>
        </w:rPr>
        <w:t xml:space="preserve">ARF</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13</w:t>
      </w:r>
      <w:r>
        <w:t xml:space="preserve"> </w:t>
      </w:r>
      <w:r>
        <w:t xml:space="preserve">and</w:t>
      </w:r>
      <w:r>
        <w:t xml:space="preserve"> </w:t>
      </w:r>
      <w:r>
        <w:t xml:space="preserve">14</w:t>
      </w:r>
      <w:r>
        <w:t xml:space="preserve">).</w:t>
      </w:r>
    </w:p>
    <w:p>
      <w:pPr>
        <w:pStyle w:val="BodyText"/>
      </w:pPr>
      <w:r>
        <w:t xml:space="preserve">To predict the functional impact of variation in gene coding sequences, ViVa uses the frequency of nonsynonymous and synonymous polymorphisms. In most cases, nonsynonymous polymorphisms in critical functional domains are likely to have deleterious effects on gene function</w:t>
      </w:r>
      <w:r>
        <w:t xml:space="preserve"> </w:t>
      </w:r>
      <w:r>
        <w:t xml:space="preserve">(Hughes et al.</w:t>
      </w:r>
      <w:r>
        <w:t xml:space="preserve"> </w:t>
      </w:r>
      <w:hyperlink w:anchor="ref-hughes_adaptive_2000">
        <w:r>
          <w:rPr>
            <w:rStyle w:val="Hyperlink"/>
          </w:rPr>
          <w:t xml:space="preserve">2000</w:t>
        </w:r>
      </w:hyperlink>
      <w:r>
        <w:t xml:space="preserve">)</w:t>
      </w:r>
      <w:r>
        <w:t xml:space="preserve">. Therefore, domains which are critical to plant fitness will accumulate fewer nonsynonymous polymorphism than regions which are non-critical domains. Thus, we reasoned that scanning gene coding sequences for regions of relatively low nonsynonymous diversity should highlight functional domains. This general principle can be seen clearly in the analysis of the</w:t>
      </w:r>
      <w:r>
        <w:t xml:space="preserve"> </w:t>
      </w:r>
      <w:r>
        <w:rPr>
          <w:i/>
        </w:rPr>
        <w:t xml:space="preserve">Aux/IAA</w:t>
      </w:r>
      <w:r>
        <w:t xml:space="preserve"> </w:t>
      </w:r>
      <w:r>
        <w:t xml:space="preserve">family of transcriptional co-repressors/co-receptors. Most Aux/IAAs have three major domains. Domain I contains an EAR motif that facilitates interaction with TPL/TPR transcriptional co-repressors</w:t>
      </w:r>
      <w:r>
        <w:t xml:space="preserve"> </w:t>
      </w:r>
      <w:r>
        <w:t xml:space="preserve">(Tiwari, Hagen, and Guilfoyle</w:t>
      </w:r>
      <w:r>
        <w:t xml:space="preserve"> </w:t>
      </w:r>
      <w:hyperlink w:anchor="ref-tiwari_aux_2004">
        <w:r>
          <w:rPr>
            <w:rStyle w:val="Hyperlink"/>
          </w:rPr>
          <w:t xml:space="preserve">2004</w:t>
        </w:r>
      </w:hyperlink>
      <w:r>
        <w:t xml:space="preserve">; Szemenyei, Hannon, and Long</w:t>
      </w:r>
      <w:r>
        <w:t xml:space="preserve"> </w:t>
      </w:r>
      <w:hyperlink w:anchor="ref-szemenyei_topless_2008">
        <w:r>
          <w:rPr>
            <w:rStyle w:val="Hyperlink"/>
          </w:rPr>
          <w:t xml:space="preserve">2008</w:t>
        </w:r>
      </w:hyperlink>
      <w:r>
        <w:t xml:space="preserve">)</w:t>
      </w:r>
      <w:r>
        <w:t xml:space="preserve">. Domain II, the degron, facilitates interactions with the TIR1/AFB receptors in the presence of auxin</w:t>
      </w:r>
      <w:r>
        <w:t xml:space="preserve"> </w:t>
      </w:r>
      <w:r>
        <w:t xml:space="preserve">(Tan et al.</w:t>
      </w:r>
      <w:r>
        <w:t xml:space="preserve"> </w:t>
      </w:r>
      <w:hyperlink w:anchor="ref-tan_mechanism_2007">
        <w:r>
          <w:rPr>
            <w:rStyle w:val="Hyperlink"/>
          </w:rPr>
          <w:t xml:space="preserve">2007</w:t>
        </w:r>
      </w:hyperlink>
      <w:r>
        <w:t xml:space="preserve">)</w:t>
      </w:r>
      <w:r>
        <w:t xml:space="preserve">. Domain III (which was originally considered domains III and IV) is a PB1 domain and facilitates interactions with the ARF transcription factors</w:t>
      </w:r>
      <w:r>
        <w:t xml:space="preserve"> </w:t>
      </w:r>
      <w:r>
        <w:t xml:space="preserve">(Ulmasov et al.</w:t>
      </w:r>
      <w:r>
        <w:t xml:space="preserve"> </w:t>
      </w:r>
      <w:hyperlink w:anchor="ref-ulmasov_aux_1997">
        <w:r>
          <w:rPr>
            <w:rStyle w:val="Hyperlink"/>
          </w:rPr>
          <w:t xml:space="preserve">1997</w:t>
        </w:r>
      </w:hyperlink>
      <w:r>
        <w:t xml:space="preserve">; Guilfoyle and Hagen</w:t>
      </w:r>
      <w:r>
        <w:t xml:space="preserve"> </w:t>
      </w:r>
      <w:hyperlink w:anchor="ref-guilfoyle_getting_2012">
        <w:r>
          <w:rPr>
            <w:rStyle w:val="Hyperlink"/>
          </w:rPr>
          <w:t xml:space="preserve">2012</w:t>
        </w:r>
      </w:hyperlink>
      <w:r>
        <w:t xml:space="preserve">; Nanao et al.</w:t>
      </w:r>
      <w:r>
        <w:t xml:space="preserve"> </w:t>
      </w:r>
      <w:hyperlink w:anchor="ref-nanao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w:t>
      </w:r>
      <w:r>
        <w:t xml:space="preserve">.</w:t>
      </w:r>
    </w:p>
    <w:p>
      <w:pPr>
        <w:pStyle w:val="BodyText"/>
      </w:pPr>
      <w:r>
        <w:t xml:space="preserve">We focused our analysis on the most conserved A class Aux/IAAs, which possess all three of these domains. We began by mapping the natural genetic variation onto an alignment of the coding sequences via the ViVa Alignment tab. A similar visualization of the full gene family is presented in the</w:t>
      </w:r>
      <w:r>
        <w:t xml:space="preserve"> </w:t>
      </w:r>
      <w:hyperlink w:anchor="si">
        <w:r>
          <w:rPr>
            <w:rStyle w:val="Hyperlink"/>
          </w:rPr>
          <w:t xml:space="preserve">Supplemental Analysis</w:t>
        </w:r>
      </w:hyperlink>
      <w:r>
        <w:t xml:space="preserve"> </w:t>
      </w:r>
      <w:r>
        <w:t xml:space="preserve">(Figure</w:t>
      </w:r>
      <w:r>
        <w:t xml:space="preserve"> </w:t>
      </w:r>
      <w:r>
        <w:t xml:space="preserve">6</w:t>
      </w:r>
      <w:r>
        <w:t xml:space="preserve">). In the alignment of A class Aux/IAAs, the EAR motif and degron can be readily identified by the drop in nonsynonymous variation, as visualized by the lack of strong variant functional effects (Figure</w:t>
      </w:r>
      <w:r>
        <w:t xml:space="preserve"> </w:t>
      </w:r>
      <w:r>
        <w:t xml:space="preserve">3</w:t>
      </w:r>
      <w:r>
        <w:t xml:space="preserve">). The PB1 domain is not as readily identified, perhaps because the multiple key residues are spread out in linear sequence space. It is worth noting that these key residues that facilitate electrostatic PB1-PB1 interactions show little variation.</w:t>
      </w:r>
    </w:p>
    <w:p>
      <w:pPr>
        <w:pStyle w:val="CaptionedFigure"/>
      </w:pPr>
      <w:r>
        <w:drawing>
          <wp:inline>
            <wp:extent cx="5334000" cy="3048000"/>
            <wp:effectExtent b="0" l="0" r="0" t="0"/>
            <wp:docPr descr="Figure 3 Critical functional domains of the conserved Aux/IAA genes show low nonsynonymous variation compared to regions of unknown functional importance.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 Methods. Alignment consensus is shown in grayscale underneath the plot as measured by Evolutionary trace (Płuciennik et al. 2018; Wilkins et al. 2012),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 title="" id="1" name="Picture"/>
            <a:graphic>
              <a:graphicData uri="http://schemas.openxmlformats.org/drawingml/2006/picture">
                <pic:pic>
                  <pic:nvPicPr>
                    <pic:cNvPr descr="manuscript_files/figure-docx/A-IAA-alignment-1.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Critical functional domains of the conserved</w:t>
      </w:r>
      <w:r>
        <w:rPr>
          <w:b/>
        </w:rPr>
        <w:t xml:space="preserve"> </w:t>
      </w:r>
      <w:r>
        <w:rPr>
          <w:i/>
          <w:b/>
        </w:rPr>
        <w:t xml:space="preserve">Aux/IAA</w:t>
      </w:r>
      <w:r>
        <w:rPr>
          <w:b/>
        </w:rPr>
        <w:t xml:space="preserve"> </w:t>
      </w:r>
      <w:r>
        <w:rPr>
          <w:b/>
        </w:rPr>
        <w:t xml:space="preserve">genes show low nonsynonymous variation compared to regions of unknown functional importance.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w:t>
      </w:r>
      <w:r>
        <w:t xml:space="preserve"> </w:t>
      </w:r>
      <w:hyperlink w:anchor="methods">
        <w:r>
          <w:rPr>
            <w:rStyle w:val="Hyperlink"/>
          </w:rPr>
          <w:t xml:space="preserve">Methods</w:t>
        </w:r>
      </w:hyperlink>
      <w:r>
        <w:t xml:space="preserve">. Alignment consensus is shown in grayscale underneath the plot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w:t>
      </w:r>
    </w:p>
    <w:p>
      <w:pPr>
        <w:pStyle w:val="BodyText"/>
      </w:pPr>
      <w:r>
        <w:t xml:space="preserve">Natural variation also provides a means to study how gene families are evolving. To visualize this, we used ViVa to map the diversity at nonsynonymous variant sites relative to synonymous variant sites (</w:t>
      </w:r>
      <m:oMath>
        <m:sSub>
          <m:e>
            <m:r>
              <m:t>π</m:t>
            </m:r>
          </m:e>
          <m:sub>
            <m:r>
              <m:t>N</m:t>
            </m:r>
          </m:sub>
        </m:sSub>
        <m:r>
          <m:t>/</m:t>
        </m:r>
        <m:sSub>
          <m:e>
            <m:r>
              <m:t>π</m:t>
            </m:r>
          </m:e>
          <m:sub>
            <m:r>
              <m:t>S</m:t>
            </m:r>
          </m:sub>
        </m:sSub>
      </m:oMath>
      <w:r>
        <w:t xml:space="preserve">) onto the Aux/IAA phylogenetic tree (Figure</w:t>
      </w:r>
      <w:r>
        <w:t xml:space="preserve"> </w:t>
      </w:r>
      <w:r>
        <w:t xml:space="preserve">4</w:t>
      </w:r>
      <w:r>
        <w:t xml:space="preserve">). This visualization enables straightforward comparison of rates of recent functional divergence as predicted by diversity within natural variation in the context of the sequence divergence throughout the history of a gene family. Clades and individual genes exhibiting low nonsynonymous diversity are likely functionally conserved. Conversely, genes with high nonsynonymous diversity are more likely to be under relaxed functional selection, indicating the possibility of functional drift, emergence of novel function, or pseudogenization.</w:t>
      </w:r>
    </w:p>
    <w:p>
      <w:pPr>
        <w:pStyle w:val="BodyText"/>
      </w:pPr>
      <w:r>
        <w:t xml:space="preserve">Previous research has found evidence of both broad genetic redundancy among the</w:t>
      </w:r>
      <w:r>
        <w:t xml:space="preserve"> </w:t>
      </w:r>
      <w:r>
        <w:rPr>
          <w:i/>
        </w:rPr>
        <w:t xml:space="preserve">Aux/IAAs</w:t>
      </w:r>
      <w:r>
        <w:t xml:space="preserve"> </w:t>
      </w:r>
      <w:r>
        <w:t xml:space="preserve">and also specificity within closely related pairs or groups of Aux/IAA proteins</w:t>
      </w:r>
      <w:r>
        <w:t xml:space="preserve"> </w:t>
      </w:r>
      <w:r>
        <w:t xml:space="preserve">(Overvoorde et al.</w:t>
      </w:r>
      <w:r>
        <w:t xml:space="preserve"> </w:t>
      </w:r>
      <w:hyperlink w:anchor="ref-overvoorde_functional_2005">
        <w:r>
          <w:rPr>
            <w:rStyle w:val="Hyperlink"/>
          </w:rPr>
          <w:t xml:space="preserve">2005</w:t>
        </w:r>
      </w:hyperlink>
      <w:r>
        <w:t xml:space="preserve">; Winkler et al.</w:t>
      </w:r>
      <w:r>
        <w:t xml:space="preserve"> </w:t>
      </w:r>
      <w:hyperlink w:anchor="ref-winkler_variation_2017">
        <w:r>
          <w:rPr>
            <w:rStyle w:val="Hyperlink"/>
          </w:rPr>
          <w:t xml:space="preserve">2017</w:t>
        </w:r>
      </w:hyperlink>
      <w:r>
        <w:t xml:space="preserve">)</w:t>
      </w:r>
      <w:r>
        <w:t xml:space="preserve">. For example, the</w:t>
      </w:r>
      <w:r>
        <w:t xml:space="preserve"> </w:t>
      </w:r>
      <w:r>
        <w:rPr>
          <w:i/>
        </w:rPr>
        <w:t xml:space="preserve">iaa8-1 iaa9-1</w:t>
      </w:r>
      <w:r>
        <w:t xml:space="preserve"> </w:t>
      </w:r>
      <w:r>
        <w:t xml:space="preserve">double mutant and the</w:t>
      </w:r>
      <w:r>
        <w:t xml:space="preserve"> </w:t>
      </w:r>
      <w:r>
        <w:rPr>
          <w:i/>
        </w:rPr>
        <w:t xml:space="preserve">iaa5-1 iaa6-1 iaa19-1</w:t>
      </w:r>
      <w:r>
        <w:t xml:space="preserve"> </w:t>
      </w:r>
      <w:r>
        <w:t xml:space="preserve">triple mutant have wild-type phenotypes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yet the</w:t>
      </w:r>
      <w:r>
        <w:t xml:space="preserve"> </w:t>
      </w:r>
      <w:r>
        <w:rPr>
          <w:i/>
        </w:rPr>
        <w:t xml:space="preserve">IAA6/IAA19</w:t>
      </w:r>
      <w:r>
        <w:t xml:space="preserve"> </w:t>
      </w:r>
      <w:r>
        <w:t xml:space="preserve">sister pair has significant differences in expression patterns, protein abundances and functions suggesting they have undergone functional specialization since their divergence</w:t>
      </w:r>
      <w:r>
        <w:t xml:space="preserve"> </w:t>
      </w:r>
      <w:r>
        <w:t xml:space="preserve">(Winkler et al.</w:t>
      </w:r>
      <w:r>
        <w:t xml:space="preserve"> </w:t>
      </w:r>
      <w:hyperlink w:anchor="ref-winkler_variation_2017">
        <w:r>
          <w:rPr>
            <w:rStyle w:val="Hyperlink"/>
          </w:rPr>
          <w:t xml:space="preserve">2017</w:t>
        </w:r>
      </w:hyperlink>
      <w:r>
        <w:t xml:space="preserve">)</w:t>
      </w:r>
      <w:r>
        <w:t xml:space="preserve">. A closer examination of the</w:t>
      </w:r>
      <w:r>
        <w:t xml:space="preserve"> </w:t>
      </w:r>
      <w:r>
        <w:rPr>
          <w:i/>
        </w:rPr>
        <w:t xml:space="preserve">IAA19</w:t>
      </w:r>
      <w:r>
        <w:t xml:space="preserve"> </w:t>
      </w:r>
      <w:r>
        <w:t xml:space="preserve">and</w:t>
      </w:r>
      <w:r>
        <w:t xml:space="preserve"> </w:t>
      </w:r>
      <w:r>
        <w:rPr>
          <w:i/>
        </w:rPr>
        <w:t xml:space="preserve">IAA6</w:t>
      </w:r>
      <w:r>
        <w:t xml:space="preserve"> </w:t>
      </w:r>
      <w:r>
        <w:t xml:space="preserve">pair within</w:t>
      </w:r>
      <w:r>
        <w:t xml:space="preserve"> </w:t>
      </w:r>
      <w:r>
        <w:rPr>
          <w:i/>
        </w:rPr>
        <w:t xml:space="preserve">Brassicaceae</w:t>
      </w:r>
      <w:r>
        <w:t xml:space="preserve"> </w:t>
      </w:r>
      <w:r>
        <w:t xml:space="preserve">found evidence for positive selection and subfunctionalization of</w:t>
      </w:r>
      <w:r>
        <w:t xml:space="preserve"> </w:t>
      </w:r>
      <w:r>
        <w:rPr>
          <w:i/>
        </w:rPr>
        <w:t xml:space="preserve">IAA6</w:t>
      </w:r>
      <w:r>
        <w:t xml:space="preserve"> </w:t>
      </w:r>
      <w:r>
        <w:t xml:space="preserve">relative to</w:t>
      </w:r>
      <w:r>
        <w:t xml:space="preserve"> </w:t>
      </w:r>
      <w:r>
        <w:rPr>
          <w:i/>
        </w:rPr>
        <w:t xml:space="preserve">IAA19</w:t>
      </w:r>
      <w:r>
        <w:t xml:space="preserve"> </w:t>
      </w:r>
      <w:r>
        <w:t xml:space="preserve">(Winkler et al.</w:t>
      </w:r>
      <w:r>
        <w:t xml:space="preserve"> </w:t>
      </w:r>
      <w:hyperlink w:anchor="ref-winkler_variation_2017">
        <w:r>
          <w:rPr>
            <w:rStyle w:val="Hyperlink"/>
          </w:rPr>
          <w:t xml:space="preserve">2017</w:t>
        </w:r>
      </w:hyperlink>
      <w:r>
        <w:t xml:space="preserve">)</w:t>
      </w:r>
      <w:r>
        <w:t xml:space="preserve">. Consistent with these results, ViVa revealed higher conservation (</w:t>
      </w:r>
      <w:r>
        <w:rPr>
          <w:i/>
        </w:rPr>
        <w:t xml:space="preserve">i.e.</w:t>
      </w:r>
      <w:r>
        <w:t xml:space="preserve"> </w:t>
      </w:r>
      <w:r>
        <w:t xml:space="preserve">lower ratio of nonsynonymous to synonymous diversity) for</w:t>
      </w:r>
      <w:r>
        <w:t xml:space="preserve"> </w:t>
      </w:r>
      <w:r>
        <w:rPr>
          <w:i/>
        </w:rPr>
        <w:t xml:space="preserve">IAA19</w:t>
      </w:r>
      <w:r>
        <w:t xml:space="preserve"> </w:t>
      </w:r>
      <w:r>
        <w:t xml:space="preserve">(</w:t>
      </w:r>
      <m:oMath>
        <m:sSub>
          <m:e>
            <m:r>
              <m:t>π</m:t>
            </m:r>
          </m:e>
          <m:sub>
            <m:r>
              <m:t>N</m:t>
            </m:r>
          </m:sub>
        </m:sSub>
        <m:r>
          <m:t>/</m:t>
        </m:r>
        <m:sSub>
          <m:e>
            <m:r>
              <m:t>π</m:t>
            </m:r>
          </m:e>
          <m:sub>
            <m:r>
              <m:t>S</m:t>
            </m:r>
          </m:sub>
        </m:sSub>
      </m:oMath>
      <w:r>
        <w:t xml:space="preserve"> </w:t>
      </w:r>
      <w:r>
        <w:t xml:space="preserve">= 0.55) compared to</w:t>
      </w:r>
      <w:r>
        <w:t xml:space="preserve"> </w:t>
      </w:r>
      <w:r>
        <w:rPr>
          <w:i/>
        </w:rPr>
        <w:t xml:space="preserve">IAA6</w:t>
      </w:r>
      <w:r>
        <w:t xml:space="preserve"> </w:t>
      </w:r>
      <w:r>
        <w:t xml:space="preserve">(</w:t>
      </w:r>
      <m:oMath>
        <m:sSub>
          <m:e>
            <m:r>
              <m:t>π</m:t>
            </m:r>
          </m:e>
          <m:sub>
            <m:r>
              <m:t>N</m:t>
            </m:r>
          </m:sub>
        </m:sSub>
        <m:r>
          <m:t>/</m:t>
        </m:r>
        <m:sSub>
          <m:e>
            <m:r>
              <m:t>π</m:t>
            </m:r>
          </m:e>
          <m:sub>
            <m:r>
              <m:t>S</m:t>
            </m:r>
          </m:sub>
        </m:sSub>
      </m:oMath>
      <w:r>
        <w:t xml:space="preserve"> </w:t>
      </w:r>
      <w:r>
        <w:t xml:space="preserve">= 2.3) (Figure</w:t>
      </w:r>
      <w:r>
        <w:t xml:space="preserve"> </w:t>
      </w:r>
      <w:r>
        <w:t xml:space="preserve">4</w:t>
      </w:r>
      <w:r>
        <w:t xml:space="preserve">), and also detected high nonsynonymous diversity within the same regions of</w:t>
      </w:r>
      <w:r>
        <w:t xml:space="preserve"> </w:t>
      </w:r>
      <w:r>
        <w:rPr>
          <w:i/>
        </w:rPr>
        <w:t xml:space="preserve">IAA6</w:t>
      </w:r>
      <w:r>
        <w:t xml:space="preserve"> </w:t>
      </w:r>
      <w:r>
        <w:t xml:space="preserve">as seen by Winkler et al. (Figure</w:t>
      </w:r>
      <w:r>
        <w:t xml:space="preserve"> </w:t>
      </w:r>
      <w:r>
        <w:t xml:space="preserve">7</w:t>
      </w:r>
      <w:r>
        <w:t xml:space="preserve">). This pattern—one sister showing high nonsynonymous diversity while the other sister was more conserved—was observed frequently across the</w:t>
      </w:r>
      <w:r>
        <w:t xml:space="preserve"> </w:t>
      </w:r>
      <w:r>
        <w:rPr>
          <w:i/>
        </w:rPr>
        <w:t xml:space="preserve">Aux/IAA</w:t>
      </w:r>
      <w:r>
        <w:t xml:space="preserve"> </w:t>
      </w:r>
      <w:r>
        <w:t xml:space="preserve">as well as the</w:t>
      </w:r>
      <w:r>
        <w:t xml:space="preserve"> </w:t>
      </w:r>
      <w:r>
        <w:rPr>
          <w:i/>
        </w:rPr>
        <w:t xml:space="preserve">AFB</w:t>
      </w:r>
      <w:r>
        <w:t xml:space="preserve"> </w:t>
      </w:r>
      <w:r>
        <w:t xml:space="preserve">and</w:t>
      </w:r>
      <w:r>
        <w:t xml:space="preserve"> </w:t>
      </w:r>
      <w:r>
        <w:rPr>
          <w:i/>
        </w:rPr>
        <w:t xml:space="preserve">ARF</w:t>
      </w:r>
      <w:r>
        <w:t xml:space="preserve"> </w:t>
      </w:r>
      <w:r>
        <w:t xml:space="preserve">families (Figure</w:t>
      </w:r>
      <w:r>
        <w:t xml:space="preserve"> </w:t>
      </w:r>
      <w:r>
        <w:t xml:space="preserve">8</w:t>
      </w:r>
      <w:r>
        <w:t xml:space="preserve"> </w:t>
      </w:r>
      <w:r>
        <w:t xml:space="preserve">and</w:t>
      </w:r>
      <w:r>
        <w:t xml:space="preserve"> </w:t>
      </w:r>
      <w:r>
        <w:t xml:space="preserve">13</w:t>
      </w:r>
      <w:r>
        <w:t xml:space="preserve">), suggesting this could be a recurring feature in the evolution of these families supporting the large diversity in auxin functions.</w:t>
      </w:r>
    </w:p>
    <w:p>
      <w:pPr>
        <w:pStyle w:val="CaptionedFigure"/>
      </w:pPr>
      <w:r>
        <w:drawing>
          <wp:inline>
            <wp:extent cx="5334000" cy="5867400"/>
            <wp:effectExtent b="0" l="0" r="0" t="0"/>
            <wp:docPr descr="Figure 4 IAA protein sequence phylogenetic tree mapped with {\pi_N/\pi_S} reveals patterns of sister pair diversity/conservation. Protein sequences were aligned with DECIPHER (Wright 2015) and low information content regions were masked with Aliscore (Kück et al. 2010) prior to inferring a phylogeny with MrBayes (Ronquist and Huelsenbeck 2003). Tips of the tree are mapped with circles of color and diameter proportional to {\pi_N/\pi_S}. The {\pi_N/\pi_S} statistic provides a prediction of functional diversity. Nodes are labeled with the posterior probability of monophyly, a measure of confidence in the branch assignment, with one representing high confidence and zero, low confidence. There are two distinct clades of Aux/IAAs represented by the majority of the A and B classes. C class Aux/IAAs are missing one or more of the canonical Aux/IAA domains. These classes are represented by the text color of the gene name." title="" id="1" name="Picture"/>
            <a:graphic>
              <a:graphicData uri="http://schemas.openxmlformats.org/drawingml/2006/picture">
                <pic:pic>
                  <pic:nvPicPr>
                    <pic:cNvPr descr="manuscript_files/figure-docx/IAAtree-1.png" id="0" name="Picture"/>
                    <pic:cNvPicPr>
                      <a:picLocks noChangeArrowheads="1" noChangeAspect="1"/>
                    </pic:cNvPicPr>
                  </pic:nvPicPr>
                  <pic:blipFill>
                    <a:blip r:embed="rId42"/>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IAA protein sequence phylogenetic tree mapped with</w:t>
      </w:r>
      <w:r>
        <w:rPr>
          <w:b/>
        </w:rPr>
        <w:t xml:space="preserve"> </w:t>
      </w:r>
      <m:oMath>
        <m:sSub>
          <m:e>
            <m:r>
              <m:t>π</m:t>
            </m:r>
          </m:e>
          <m:sub>
            <m:r>
              <m:t>N</m:t>
            </m:r>
          </m:sub>
        </m:sSub>
        <m:r>
          <m:t>/</m:t>
        </m:r>
        <m:sSub>
          <m:e>
            <m:r>
              <m:t>π</m:t>
            </m:r>
          </m:e>
          <m:sub>
            <m:r>
              <m:t>S</m:t>
            </m:r>
          </m:sub>
        </m:sSub>
      </m:oMath>
      <w:r>
        <w:rPr>
          <w:b/>
        </w:rPr>
        <w:t xml:space="preserve"> </w:t>
      </w:r>
      <w:r>
        <w:rPr>
          <w:b/>
        </w:rPr>
        <w:t xml:space="preserve">reveals patterns of sister pair diversity/conservation.</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color and diameter proportional to</w:t>
      </w:r>
      <w:r>
        <w:t xml:space="preserve"> </w:t>
      </w:r>
      <m:oMath>
        <m:sSub>
          <m:e>
            <m:r>
              <m:t>π</m:t>
            </m:r>
          </m:e>
          <m:sub>
            <m:r>
              <m:t>N</m:t>
            </m:r>
          </m:sub>
        </m:sSub>
        <m:r>
          <m:t>/</m:t>
        </m:r>
        <m:sSub>
          <m:e>
            <m:r>
              <m:t>π</m:t>
            </m:r>
          </m:e>
          <m:sub>
            <m:r>
              <m:t>S</m:t>
            </m:r>
          </m:sub>
        </m:sSub>
      </m:oMath>
      <w:r>
        <w:t xml:space="preserve">. The</w:t>
      </w:r>
      <w:r>
        <w:t xml:space="preserve"> </w:t>
      </w:r>
      <m:oMath>
        <m:sSub>
          <m:e>
            <m:r>
              <m:t>π</m:t>
            </m:r>
          </m:e>
          <m:sub>
            <m:r>
              <m:t>N</m:t>
            </m:r>
          </m:sub>
        </m:sSub>
        <m:r>
          <m:t>/</m:t>
        </m:r>
        <m:sSub>
          <m:e>
            <m:r>
              <m:t>π</m:t>
            </m:r>
          </m:e>
          <m:sub>
            <m:r>
              <m:t>S</m:t>
            </m:r>
          </m:sub>
        </m:sSub>
      </m:oMath>
      <w:r>
        <w:t xml:space="preserve"> </w:t>
      </w:r>
      <w:r>
        <w:t xml:space="preserve">statistic provides a prediction of functional diversity. Nodes are labeled with the posterior probability of monophyly, a measure of confidence in the branch assignment, with one representing high confidence and zero, low confidence. There are two distinct clades of Aux/IAAs represented by the majority of the A and B classes. C class Aux/IAAs are missing one or more of the canonical Aux/IAA domains. These classes are represented by the text color of the gene name.</w:t>
      </w:r>
    </w:p>
    <w:p>
      <w:pPr>
        <w:pStyle w:val="BodyText"/>
      </w:pPr>
      <w:r>
        <w:t xml:space="preserve">The</w:t>
      </w:r>
      <w:r>
        <w:t xml:space="preserve"> </w:t>
      </w:r>
      <w:r>
        <w:rPr>
          <w:i/>
        </w:rPr>
        <w:t xml:space="preserve">Aux/IAA</w:t>
      </w:r>
      <w:r>
        <w:t xml:space="preserve"> </w:t>
      </w:r>
      <w:r>
        <w:t xml:space="preserve">phylogeny clusters into two distinct clades represented by the A and B classes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C class Aux/IAAs are missing one or more of the canonical Aux/IAA domains. We found notable exceptions to the pattern of diversification and conservation between sister pairs within the Class B</w:t>
      </w:r>
      <w:r>
        <w:t xml:space="preserve"> </w:t>
      </w:r>
      <w:r>
        <w:rPr>
          <w:i/>
        </w:rPr>
        <w:t xml:space="preserve">Aux/IAA</w:t>
      </w:r>
      <w:r>
        <w:t xml:space="preserve"> </w:t>
      </w:r>
      <w:r>
        <w:t xml:space="preserve">genes. The</w:t>
      </w:r>
      <w:r>
        <w:t xml:space="preserve"> </w:t>
      </w:r>
      <w:r>
        <w:rPr>
          <w:i/>
        </w:rPr>
        <w:t xml:space="preserve">IAA10</w:t>
      </w:r>
      <w:r>
        <w:t xml:space="preserve">/</w:t>
      </w:r>
      <w:r>
        <w:rPr>
          <w:i/>
        </w:rPr>
        <w:t xml:space="preserve">IAA11</w:t>
      </w:r>
      <w:r>
        <w:t xml:space="preserve">,</w:t>
      </w:r>
      <w:r>
        <w:t xml:space="preserve"> </w:t>
      </w:r>
      <w:r>
        <w:rPr>
          <w:i/>
        </w:rPr>
        <w:t xml:space="preserve">IAA18</w:t>
      </w:r>
      <w:r>
        <w:t xml:space="preserve">/</w:t>
      </w:r>
      <w:r>
        <w:rPr>
          <w:i/>
        </w:rPr>
        <w:t xml:space="preserve">IAA26</w:t>
      </w:r>
      <w:r>
        <w:t xml:space="preserve">, and</w:t>
      </w:r>
      <w:r>
        <w:t xml:space="preserve"> </w:t>
      </w:r>
      <w:r>
        <w:rPr>
          <w:i/>
        </w:rPr>
        <w:t xml:space="preserve">IAA20</w:t>
      </w:r>
      <w:r>
        <w:t xml:space="preserve">/</w:t>
      </w:r>
      <w:r>
        <w:rPr>
          <w:i/>
        </w:rPr>
        <w:t xml:space="preserve">IAA30</w:t>
      </w:r>
      <w:r>
        <w:t xml:space="preserve"> </w:t>
      </w:r>
      <w:r>
        <w:t xml:space="preserve">pairs showed similar levels of nonsynonymous diversity. For example,</w:t>
      </w:r>
      <w:r>
        <w:t xml:space="preserve"> </w:t>
      </w:r>
      <w:r>
        <w:rPr>
          <w:i/>
        </w:rPr>
        <w:t xml:space="preserve">IAA10</w:t>
      </w:r>
      <w:r>
        <w:t xml:space="preserve"> </w:t>
      </w:r>
      <w:r>
        <w:t xml:space="preserve">and</w:t>
      </w:r>
      <w:r>
        <w:t xml:space="preserve"> </w:t>
      </w:r>
      <w:r>
        <w:rPr>
          <w:i/>
        </w:rPr>
        <w:t xml:space="preserve">IAA11</w:t>
      </w:r>
      <w:r>
        <w:t xml:space="preserve"> </w:t>
      </w:r>
      <w:r>
        <w:t xml:space="preserve">both showed functional conservation (</w:t>
      </w:r>
      <m:oMath>
        <m:sSub>
          <m:e>
            <m:r>
              <m:t>π</m:t>
            </m:r>
          </m:e>
          <m:sub>
            <m:r>
              <m:t>N</m:t>
            </m:r>
          </m:sub>
        </m:sSub>
        <m:r>
          <m:t>/</m:t>
        </m:r>
        <m:sSub>
          <m:e>
            <m:r>
              <m:t>π</m:t>
            </m:r>
          </m:e>
          <m:sub>
            <m:r>
              <m:t>S</m:t>
            </m:r>
          </m:sub>
        </m:sSub>
      </m:oMath>
      <w:r>
        <w:t xml:space="preserve"> </w:t>
      </w:r>
      <w:r>
        <w:t xml:space="preserve">of 0.80 and 0.67 respectively). The</w:t>
      </w:r>
      <w:r>
        <w:t xml:space="preserve"> </w:t>
      </w:r>
      <w:r>
        <w:rPr>
          <w:i/>
        </w:rPr>
        <w:t xml:space="preserve">Arabidopsis thaliana</w:t>
      </w:r>
      <w:r>
        <w:t xml:space="preserve"> </w:t>
      </w:r>
      <w:r>
        <w:t xml:space="preserve">ePlant browser indicates that</w:t>
      </w:r>
      <w:r>
        <w:t xml:space="preserve"> </w:t>
      </w:r>
      <w:r>
        <w:rPr>
          <w:i/>
        </w:rPr>
        <w:t xml:space="preserve">IAA10</w:t>
      </w:r>
      <w:r>
        <w:t xml:space="preserve"> </w:t>
      </w:r>
      <w:r>
        <w:t xml:space="preserve">and</w:t>
      </w:r>
      <w:r>
        <w:t xml:space="preserve"> </w:t>
      </w:r>
      <w:r>
        <w:rPr>
          <w:i/>
        </w:rPr>
        <w:t xml:space="preserve">IAA11</w:t>
      </w:r>
      <w:r>
        <w:t xml:space="preserve"> </w:t>
      </w:r>
      <w:r>
        <w:t xml:space="preserve">have almost identical expression patterns</w:t>
      </w:r>
      <w:r>
        <w:t xml:space="preserve"> </w:t>
      </w:r>
      <w:r>
        <w:t xml:space="preserve">(Waese et al.</w:t>
      </w:r>
      <w:r>
        <w:t xml:space="preserve"> </w:t>
      </w:r>
      <w:hyperlink w:anchor="ref-waese_eplant_2017">
        <w:r>
          <w:rPr>
            <w:rStyle w:val="Hyperlink"/>
          </w:rPr>
          <w:t xml:space="preserve">2017</w:t>
        </w:r>
      </w:hyperlink>
      <w:r>
        <w:t xml:space="preserve">)</w:t>
      </w:r>
      <w:r>
        <w:t xml:space="preserve">. Together this evidence suggests a strong dosage requirement for these genes or that they have taken on novel functions since their emergence, with both genes contributing similarly to plant fitness. In support of novel function, expression and mutant analysis during embryogenesis suggest that IAA10 is required for suspensor-hypophysis transition, while IAA11 is involved in later cell fate transitions</w:t>
      </w:r>
      <w:r>
        <w:t xml:space="preserve"> </w:t>
      </w:r>
      <w:r>
        <w:t xml:space="preserve">(Rademacher et al.</w:t>
      </w:r>
      <w:r>
        <w:t xml:space="preserve"> </w:t>
      </w:r>
      <w:hyperlink w:anchor="ref-rademacher_different_2012">
        <w:r>
          <w:rPr>
            <w:rStyle w:val="Hyperlink"/>
          </w:rPr>
          <w:t xml:space="preserve">2012</w:t>
        </w:r>
      </w:hyperlink>
      <w:r>
        <w:t xml:space="preserve">)</w:t>
      </w:r>
      <w:r>
        <w:t xml:space="preserve">.</w:t>
      </w:r>
    </w:p>
    <w:p>
      <w:pPr>
        <w:pStyle w:val="Heading1"/>
      </w:pPr>
      <w:bookmarkStart w:id="43" w:name="conclusion"/>
      <w:r>
        <w:t xml:space="preserve">Conclusion</w:t>
      </w:r>
      <w:bookmarkEnd w:id="43"/>
    </w:p>
    <w:p>
      <w:pPr>
        <w:pStyle w:val="FirstParagraph"/>
      </w:pPr>
      <w:r>
        <w:t xml:space="preserve">ViVa has allowed our team of testers from various skill levels and backgrounds to meaningfully access and mine the 1001 genomes dataset. The visualizations of natural variation further supported much of the existing structure-function knowledge of the well-studied nuclear auxin signaling pathway and facilitated the generation of new hypotheses. Gene and gene family analyses can be combined, as was done here for nuclear auxin signaling, to understand variation within gene networks. Visualizations of variation within whole gene networks are planned for future iterations of ViVa. Application of ViVa to less studied genes and gene families promises to yield more novel hypotheses, which can be evaluated via genetic and functional assays to glean novel structure/function knowledge from this rich dataset.</w:t>
      </w:r>
    </w:p>
    <w:p>
      <w:pPr>
        <w:pStyle w:val="BodyText"/>
      </w:pPr>
      <w:r>
        <w:t xml:space="preserve">ViVa results are intended to inform and inspire hypothesis generation, not be taken as absolute evidence of trends in gene or gene family evolution. Among the cautions worth noting in interpreting results are limitations of short-read sequencing that lead to regions of missing data where low read quality may have prevented variant calls. We have assumed these missing variants are reference alleles, leading to undercounting in ViVa’s diversity estimations. Visualizations of this uncertainty will be added to a future version of ViVa. Recent advances in sequencing technologies have been combined to generate extremely high-quality genomes</w:t>
      </w:r>
      <w:r>
        <w:t xml:space="preserve"> </w:t>
      </w:r>
      <w:r>
        <w:t xml:space="preserve">(Michael et al.</w:t>
      </w:r>
      <w:r>
        <w:t xml:space="preserve"> </w:t>
      </w:r>
      <w:hyperlink w:anchor="ref-michael_high_2018">
        <w:r>
          <w:rPr>
            <w:rStyle w:val="Hyperlink"/>
          </w:rPr>
          <w:t xml:space="preserve">2018</w:t>
        </w:r>
      </w:hyperlink>
      <w:r>
        <w:t xml:space="preserve">)</w:t>
      </w:r>
      <w:r>
        <w:t xml:space="preserve">, and will reduce this source of uncertainty in future resequencing datasets. Another limitation is that the geographic coverage of accessions in the 1001 Genomes dataset is far from uniform, and thus diversity scores may not accurately reflect the allelic distributions of the global</w:t>
      </w:r>
      <w:r>
        <w:t xml:space="preserve"> </w:t>
      </w:r>
      <w:r>
        <w:rPr>
          <w:i/>
        </w:rPr>
        <w:t xml:space="preserve">Arabidopsis thaliana</w:t>
      </w:r>
      <w:r>
        <w:t xml:space="preserve"> </w:t>
      </w:r>
      <w:r>
        <w:t xml:space="preserve">population.</w:t>
      </w:r>
    </w:p>
    <w:p>
      <w:pPr>
        <w:pStyle w:val="BodyText"/>
      </w:pPr>
      <w:r>
        <w:t xml:space="preserve">We hope that ViVa will advance understanding of genotype-phenotype relationships by allowing all researchers access to large resequencing datasets. In the future, we intend to expand ViVa beyond the plant genetics workhorse,</w:t>
      </w:r>
      <w:r>
        <w:t xml:space="preserve"> </w:t>
      </w:r>
      <w:r>
        <w:rPr>
          <w:i/>
        </w:rPr>
        <w:t xml:space="preserve">Arabidopsis thaliana</w:t>
      </w:r>
      <w:r>
        <w:t xml:space="preserve">, to more agriculturally relevant species with existing resequencing projects, such as rice</w:t>
      </w:r>
      <w:r>
        <w:t xml:space="preserve"> </w:t>
      </w:r>
      <w:r>
        <w:t xml:space="preserve">(Wang et al.</w:t>
      </w:r>
      <w:r>
        <w:t xml:space="preserve"> </w:t>
      </w:r>
      <w:hyperlink w:anchor="ref-wang_genomic_2018">
        <w:r>
          <w:rPr>
            <w:rStyle w:val="Hyperlink"/>
          </w:rPr>
          <w:t xml:space="preserve">2018</w:t>
        </w:r>
      </w:hyperlink>
      <w:r>
        <w:t xml:space="preserve">)</w:t>
      </w:r>
      <w:r>
        <w:t xml:space="preserve"> </w:t>
      </w:r>
      <w:r>
        <w:t xml:space="preserve">and soybean</w:t>
      </w:r>
      <w:r>
        <w:t xml:space="preserve"> </w:t>
      </w:r>
      <w:r>
        <w:t xml:space="preserve">(Zhou et al.</w:t>
      </w:r>
      <w:r>
        <w:t xml:space="preserve"> </w:t>
      </w:r>
      <w:hyperlink w:anchor="ref-zhou_resequencing_2015">
        <w:r>
          <w:rPr>
            <w:rStyle w:val="Hyperlink"/>
          </w:rPr>
          <w:t xml:space="preserve">2015</w:t>
        </w:r>
      </w:hyperlink>
      <w:r>
        <w:t xml:space="preserve">)</w:t>
      </w:r>
      <w:r>
        <w:t xml:space="preserve">. Indeed, the ViVa framework is readily adaptable to any source of targeted resequencing data. If François Jacob’s metaphor holds true, and evolution is indeed a tinkerer and not an engineer</w:t>
      </w:r>
      <w:r>
        <w:t xml:space="preserve"> </w:t>
      </w:r>
      <w:r>
        <w:t xml:space="preserve">(Jacob</w:t>
      </w:r>
      <w:r>
        <w:t xml:space="preserve"> </w:t>
      </w:r>
      <w:hyperlink w:anchor="ref-jacob_evolution_1977">
        <w:r>
          <w:rPr>
            <w:rStyle w:val="Hyperlink"/>
          </w:rPr>
          <w:t xml:space="preserve">1977</w:t>
        </w:r>
      </w:hyperlink>
      <w:r>
        <w:t xml:space="preserve">)</w:t>
      </w:r>
      <w:r>
        <w:t xml:space="preserve">, it is only by examining the largest possible number of nature’s solutions that we may eventually decipher the principles constraining innovations in form and function.</w:t>
      </w:r>
    </w:p>
    <w:p>
      <w:pPr>
        <w:pStyle w:val="Heading1"/>
      </w:pPr>
      <w:bookmarkStart w:id="44" w:name="methods"/>
      <w:r>
        <w:t xml:space="preserve">Methods</w:t>
      </w:r>
      <w:bookmarkEnd w:id="44"/>
    </w:p>
    <w:p>
      <w:pPr>
        <w:pStyle w:val="Heading2"/>
      </w:pPr>
      <w:bookmarkStart w:id="45" w:name="data-sources"/>
      <w:r>
        <w:t xml:space="preserve">Data Sources</w:t>
      </w:r>
      <w:bookmarkEnd w:id="45"/>
    </w:p>
    <w:p>
      <w:pPr>
        <w:pStyle w:val="Heading3"/>
      </w:pPr>
      <w:bookmarkStart w:id="46" w:name="variant-data"/>
      <w:r>
        <w:t xml:space="preserve">Variant Data</w:t>
      </w:r>
      <w:bookmarkEnd w:id="46"/>
    </w:p>
    <w:p>
      <w:pPr>
        <w:pStyle w:val="FirstParagraph"/>
      </w:pPr>
      <w:r>
        <w:t xml:space="preserve">Variant data was queried from the 1001 genomes project (</w:t>
      </w:r>
      <w:hyperlink r:id="rId21">
        <w:r>
          <w:rPr>
            <w:rStyle w:val="Hyperlink"/>
          </w:rPr>
          <w:t xml:space="preserve">http://1001genomes.org</w:t>
        </w:r>
      </w:hyperlink>
      <w:r>
        <w:t xml:space="preserve">) via URL requests to their API service (</w:t>
      </w:r>
      <w:hyperlink r:id="rId47">
        <w:r>
          <w:rPr>
            <w:rStyle w:val="Hyperlink"/>
          </w:rPr>
          <w:t xml:space="preserve">http://tools.1001genomes.org/api/index.html</w:t>
        </w:r>
      </w:hyperlink>
      <w:r>
        <w:t xml:space="preserve">). These queries returned subsets of the whole-genome variant call format (VCF) file as SnpEFF VCF files. The whole-genome VCF file can be found on the project’s website at</w:t>
      </w:r>
      <w:r>
        <w:t xml:space="preserve"> </w:t>
      </w:r>
      <w:hyperlink r:id="rId48">
        <w:r>
          <w:rPr>
            <w:rStyle w:val="Hyperlink"/>
          </w:rPr>
          <w:t xml:space="preserve">http://1001genomes.org/data/GMI-MPI/releases/v3.1/</w:t>
        </w:r>
      </w:hyperlink>
      <w:r>
        <w:t xml:space="preserve">.</w:t>
      </w:r>
    </w:p>
    <w:p>
      <w:pPr>
        <w:pStyle w:val="Heading3"/>
      </w:pPr>
      <w:bookmarkStart w:id="49" w:name="germplasm-accession-information"/>
      <w:r>
        <w:t xml:space="preserve">Germplasm Accession Information</w:t>
      </w:r>
      <w:bookmarkEnd w:id="49"/>
    </w:p>
    <w:p>
      <w:pPr>
        <w:pStyle w:val="FirstParagraph"/>
      </w:pPr>
      <w:r>
        <w:t xml:space="preserve">A dataset of each of the 1135 accessions including CS stock numbers and geographic locations where the samples were collected was retrieved from the 1001 Genomes website at</w:t>
      </w:r>
      <w:r>
        <w:t xml:space="preserve"> </w:t>
      </w:r>
      <w:hyperlink r:id="rId50">
        <w:r>
          <w:rPr>
            <w:rStyle w:val="Hyperlink"/>
          </w:rPr>
          <w:t xml:space="preserve">http://1001genomes.org/accessions.html</w:t>
        </w:r>
      </w:hyperlink>
      <w:r>
        <w:t xml:space="preserve">, via the download link at the bottom of the page. This data file has been embedded in the R package as</w:t>
      </w:r>
      <w:r>
        <w:t xml:space="preserve"> </w:t>
      </w:r>
      <w:r>
        <w:rPr>
          <w:rStyle w:val="VerbatimChar"/>
        </w:rPr>
        <w:t xml:space="preserve">accessions</w:t>
      </w:r>
      <w:r>
        <w:t xml:space="preserve">.</w:t>
      </w:r>
    </w:p>
    <w:p>
      <w:pPr>
        <w:pStyle w:val="Heading3"/>
      </w:pPr>
      <w:bookmarkStart w:id="51" w:name="Xf13dd08ee655fbc906758e54d0332f55266d5b9"/>
      <w:r>
        <w:t xml:space="preserve">Gene and Transcript Accession Information</w:t>
      </w:r>
      <w:bookmarkEnd w:id="51"/>
    </w:p>
    <w:p>
      <w:pPr>
        <w:pStyle w:val="FirstParagraph"/>
      </w:pPr>
      <w:r>
        <w:t xml:space="preserve">Information on the genes and transcripts including chromosomal coordinates, start and end location, and transcript length were downloaded from Araport11 as a General Feature Format (GFF) file</w:t>
      </w:r>
      <w:r>
        <w:t xml:space="preserve"> </w:t>
      </w:r>
      <w:r>
        <w:t xml:space="preserve">(Cheng et al.</w:t>
      </w:r>
      <w:r>
        <w:t xml:space="preserve"> </w:t>
      </w:r>
      <w:hyperlink w:anchor="ref-cheng_araport11_2017">
        <w:r>
          <w:rPr>
            <w:rStyle w:val="Hyperlink"/>
          </w:rPr>
          <w:t xml:space="preserve">2017</w:t>
        </w:r>
      </w:hyperlink>
      <w:r>
        <w:t xml:space="preserve">)</w:t>
      </w:r>
      <w:r>
        <w:t xml:space="preserve">. The Araport11 full genome general feature format file, which can also be found on the TAIR website (</w:t>
      </w:r>
      <w:hyperlink r:id="rId52">
        <w:r>
          <w:rPr>
            <w:rStyle w:val="Hyperlink"/>
          </w:rPr>
          <w:t xml:space="preserve">https://www.arabidopsis.org/download/index-auto.jsp?dir=%2Fdownload_files%2FGenes%2FAraport11_genome_release</w:t>
        </w:r>
      </w:hyperlink>
      <w:r>
        <w:t xml:space="preserve">), has been embedded in the R-package as GRanges object,</w:t>
      </w:r>
      <w:r>
        <w:t xml:space="preserve"> </w:t>
      </w:r>
      <w:r>
        <w:rPr>
          <w:rStyle w:val="VerbatimChar"/>
        </w:rPr>
        <w:t xml:space="preserve">gr</w:t>
      </w:r>
      <w:r>
        <w:t xml:space="preserve">. The TAIR10 database, found at</w:t>
      </w:r>
      <w:r>
        <w:t xml:space="preserve"> </w:t>
      </w:r>
      <w:hyperlink r:id="rId53">
        <w:r>
          <w:rPr>
            <w:rStyle w:val="Hyperlink"/>
          </w:rPr>
          <w:t xml:space="preserve">http://arabidopsis.org</w:t>
        </w:r>
      </w:hyperlink>
      <w:r>
        <w:t xml:space="preserve">, was accessed via the</w:t>
      </w:r>
      <w:r>
        <w:t xml:space="preserve"> </w:t>
      </w:r>
      <w:r>
        <w:rPr>
          <w:rStyle w:val="VerbatimChar"/>
        </w:rPr>
        <w:t xml:space="preserve">biomart</w:t>
      </w:r>
      <w:r>
        <w:t xml:space="preserve"> </w:t>
      </w:r>
      <w:r>
        <w:t xml:space="preserve">function, using the biomaRt R-package. Gene identifiers used in this study are in Table</w:t>
      </w:r>
      <w:r>
        <w:t xml:space="preserve"> </w:t>
      </w:r>
      <w:r>
        <w:t xml:space="preserve">1</w:t>
      </w:r>
      <w:r>
        <w:t xml:space="preserve">.</w:t>
      </w:r>
    </w:p>
    <w:p>
      <w:pPr>
        <w:pStyle w:val="TableCaption"/>
      </w:pPr>
      <w:r>
        <w:t xml:space="preserve">Table 1 Full list of genes used in this study, by identifier, symbol and classification.</w:t>
      </w:r>
    </w:p>
    <w:tbl>
      <w:tblPr>
        <w:tblStyle w:val="Table"/>
        <w:tblW w:type="pct" w:w="0.0"/>
        <w:tblLook w:firstRow="1"/>
        <w:tblCaption w:val="Table 1 Full list of genes used in this study, by identifier, symbol and classification."/>
      </w:tblPr>
      <w:tblGrid/>
      <w:tr>
        <w:trPr>
          <w:cnfStyle w:firstRow="1"/>
        </w:trPr>
        <w:tc>
          <w:tcPr>
            <w:tcBorders>
              <w:bottom w:val="single"/>
            </w:tcBorders>
            <w:vAlign w:val="bottom"/>
          </w:tcPr>
          <w:p>
            <w:pPr>
              <w:pStyle w:val="Compact"/>
              <w:jc w:val="left"/>
            </w:pPr>
            <w:r>
              <w:t xml:space="preserve">Arabidopsis AGI locus identifier</w:t>
            </w:r>
          </w:p>
        </w:tc>
        <w:tc>
          <w:tcPr>
            <w:tcBorders>
              <w:bottom w:val="single"/>
            </w:tcBorders>
            <w:vAlign w:val="bottom"/>
          </w:tcPr>
          <w:p>
            <w:pPr>
              <w:pStyle w:val="Compact"/>
              <w:jc w:val="left"/>
            </w:pPr>
            <w:r>
              <w:t xml:space="preserve">Gene symbol</w:t>
            </w:r>
          </w:p>
        </w:tc>
        <w:tc>
          <w:tcPr>
            <w:tcBorders>
              <w:bottom w:val="single"/>
            </w:tcBorders>
            <w:vAlign w:val="bottom"/>
          </w:tcPr>
          <w:p>
            <w:pPr>
              <w:pStyle w:val="Compact"/>
              <w:jc w:val="left"/>
            </w:pPr>
            <w:r>
              <w:t xml:space="preserve">Clade/class</w:t>
            </w:r>
          </w:p>
        </w:tc>
      </w:tr>
      <w:tr>
        <w:tc>
          <w:p>
            <w:pPr>
              <w:pStyle w:val="Compact"/>
              <w:jc w:val="left"/>
            </w:pPr>
            <w:r>
              <w:t xml:space="preserve">AT3G62980</w:t>
            </w:r>
          </w:p>
        </w:tc>
        <w:tc>
          <w:p>
            <w:pPr>
              <w:pStyle w:val="Compact"/>
              <w:jc w:val="left"/>
            </w:pPr>
            <w:r>
              <w:t xml:space="preserve">TIR1</w:t>
            </w:r>
          </w:p>
        </w:tc>
        <w:tc>
          <w:p>
            <w:pPr>
              <w:pStyle w:val="Compact"/>
              <w:jc w:val="left"/>
            </w:pPr>
            <w:r>
              <w:t xml:space="preserve">NA</w:t>
            </w:r>
          </w:p>
        </w:tc>
      </w:tr>
      <w:tr>
        <w:tc>
          <w:p>
            <w:pPr>
              <w:pStyle w:val="Compact"/>
              <w:jc w:val="left"/>
            </w:pPr>
            <w:r>
              <w:t xml:space="preserve">AT4G03190</w:t>
            </w:r>
          </w:p>
        </w:tc>
        <w:tc>
          <w:p>
            <w:pPr>
              <w:pStyle w:val="Compact"/>
              <w:jc w:val="left"/>
            </w:pPr>
            <w:r>
              <w:t xml:space="preserve">AFB1</w:t>
            </w:r>
          </w:p>
        </w:tc>
        <w:tc>
          <w:p>
            <w:pPr>
              <w:pStyle w:val="Compact"/>
              <w:jc w:val="left"/>
            </w:pPr>
            <w:r>
              <w:t xml:space="preserve">NA</w:t>
            </w:r>
          </w:p>
        </w:tc>
      </w:tr>
      <w:tr>
        <w:tc>
          <w:p>
            <w:pPr>
              <w:pStyle w:val="Compact"/>
              <w:jc w:val="left"/>
            </w:pPr>
            <w:r>
              <w:t xml:space="preserve">AT3G26810</w:t>
            </w:r>
          </w:p>
        </w:tc>
        <w:tc>
          <w:p>
            <w:pPr>
              <w:pStyle w:val="Compact"/>
              <w:jc w:val="left"/>
            </w:pPr>
            <w:r>
              <w:t xml:space="preserve">AFB2</w:t>
            </w:r>
          </w:p>
        </w:tc>
        <w:tc>
          <w:p>
            <w:pPr>
              <w:pStyle w:val="Compact"/>
              <w:jc w:val="left"/>
            </w:pPr>
            <w:r>
              <w:t xml:space="preserve">NA</w:t>
            </w:r>
          </w:p>
        </w:tc>
      </w:tr>
      <w:tr>
        <w:tc>
          <w:p>
            <w:pPr>
              <w:pStyle w:val="Compact"/>
              <w:jc w:val="left"/>
            </w:pPr>
            <w:r>
              <w:t xml:space="preserve">AT1G12820</w:t>
            </w:r>
          </w:p>
        </w:tc>
        <w:tc>
          <w:p>
            <w:pPr>
              <w:pStyle w:val="Compact"/>
              <w:jc w:val="left"/>
            </w:pPr>
            <w:r>
              <w:t xml:space="preserve">AFB3</w:t>
            </w:r>
          </w:p>
        </w:tc>
        <w:tc>
          <w:p>
            <w:pPr>
              <w:pStyle w:val="Compact"/>
              <w:jc w:val="left"/>
            </w:pPr>
            <w:r>
              <w:t xml:space="preserve">NA</w:t>
            </w:r>
          </w:p>
        </w:tc>
      </w:tr>
      <w:tr>
        <w:tc>
          <w:p>
            <w:pPr>
              <w:pStyle w:val="Compact"/>
              <w:jc w:val="left"/>
            </w:pPr>
            <w:r>
              <w:t xml:space="preserve">AT4G24390</w:t>
            </w:r>
          </w:p>
        </w:tc>
        <w:tc>
          <w:p>
            <w:pPr>
              <w:pStyle w:val="Compact"/>
              <w:jc w:val="left"/>
            </w:pPr>
            <w:r>
              <w:t xml:space="preserve">AFB4</w:t>
            </w:r>
          </w:p>
        </w:tc>
        <w:tc>
          <w:p>
            <w:pPr>
              <w:pStyle w:val="Compact"/>
              <w:jc w:val="left"/>
            </w:pPr>
            <w:r>
              <w:t xml:space="preserve">NA</w:t>
            </w:r>
          </w:p>
        </w:tc>
      </w:tr>
      <w:tr>
        <w:tc>
          <w:p>
            <w:pPr>
              <w:pStyle w:val="Compact"/>
              <w:jc w:val="left"/>
            </w:pPr>
            <w:r>
              <w:t xml:space="preserve">AT5G49980</w:t>
            </w:r>
          </w:p>
        </w:tc>
        <w:tc>
          <w:p>
            <w:pPr>
              <w:pStyle w:val="Compact"/>
              <w:jc w:val="left"/>
            </w:pPr>
            <w:r>
              <w:t xml:space="preserve">AFB5</w:t>
            </w:r>
          </w:p>
        </w:tc>
        <w:tc>
          <w:p>
            <w:pPr>
              <w:pStyle w:val="Compact"/>
              <w:jc w:val="left"/>
            </w:pPr>
            <w:r>
              <w:t xml:space="preserve">NA</w:t>
            </w:r>
          </w:p>
        </w:tc>
      </w:tr>
      <w:tr>
        <w:tc>
          <w:p>
            <w:pPr>
              <w:pStyle w:val="Compact"/>
              <w:jc w:val="left"/>
            </w:pPr>
            <w:r>
              <w:t xml:space="preserve">AT2G39940</w:t>
            </w:r>
          </w:p>
        </w:tc>
        <w:tc>
          <w:p>
            <w:pPr>
              <w:pStyle w:val="Compact"/>
              <w:jc w:val="left"/>
            </w:pPr>
            <w:r>
              <w:t xml:space="preserve">COI1</w:t>
            </w:r>
          </w:p>
        </w:tc>
        <w:tc>
          <w:p>
            <w:pPr>
              <w:pStyle w:val="Compact"/>
              <w:jc w:val="left"/>
            </w:pPr>
            <w:r>
              <w:t xml:space="preserve">NA</w:t>
            </w:r>
          </w:p>
        </w:tc>
      </w:tr>
      <w:tr>
        <w:tc>
          <w:p>
            <w:pPr>
              <w:pStyle w:val="Compact"/>
              <w:jc w:val="left"/>
            </w:pPr>
            <w:r>
              <w:t xml:space="preserve">AT4G14560</w:t>
            </w:r>
          </w:p>
        </w:tc>
        <w:tc>
          <w:p>
            <w:pPr>
              <w:pStyle w:val="Compact"/>
              <w:jc w:val="left"/>
            </w:pPr>
            <w:r>
              <w:t xml:space="preserve">IAA1</w:t>
            </w:r>
          </w:p>
        </w:tc>
        <w:tc>
          <w:p>
            <w:pPr>
              <w:pStyle w:val="Compact"/>
              <w:jc w:val="left"/>
            </w:pPr>
            <w:r>
              <w:t xml:space="preserve">A</w:t>
            </w:r>
          </w:p>
        </w:tc>
      </w:tr>
      <w:tr>
        <w:tc>
          <w:p>
            <w:pPr>
              <w:pStyle w:val="Compact"/>
              <w:jc w:val="left"/>
            </w:pPr>
            <w:r>
              <w:t xml:space="preserve">AT3G23030</w:t>
            </w:r>
          </w:p>
        </w:tc>
        <w:tc>
          <w:p>
            <w:pPr>
              <w:pStyle w:val="Compact"/>
              <w:jc w:val="left"/>
            </w:pPr>
            <w:r>
              <w:t xml:space="preserve">IAA2</w:t>
            </w:r>
          </w:p>
        </w:tc>
        <w:tc>
          <w:p>
            <w:pPr>
              <w:pStyle w:val="Compact"/>
              <w:jc w:val="left"/>
            </w:pPr>
            <w:r>
              <w:t xml:space="preserve">A</w:t>
            </w:r>
          </w:p>
        </w:tc>
      </w:tr>
      <w:tr>
        <w:tc>
          <w:p>
            <w:pPr>
              <w:pStyle w:val="Compact"/>
              <w:jc w:val="left"/>
            </w:pPr>
            <w:r>
              <w:t xml:space="preserve">AT1G04240</w:t>
            </w:r>
          </w:p>
        </w:tc>
        <w:tc>
          <w:p>
            <w:pPr>
              <w:pStyle w:val="Compact"/>
              <w:jc w:val="left"/>
            </w:pPr>
            <w:r>
              <w:t xml:space="preserve">IAA3</w:t>
            </w:r>
          </w:p>
        </w:tc>
        <w:tc>
          <w:p>
            <w:pPr>
              <w:pStyle w:val="Compact"/>
              <w:jc w:val="left"/>
            </w:pPr>
            <w:r>
              <w:t xml:space="preserve">A</w:t>
            </w:r>
          </w:p>
        </w:tc>
      </w:tr>
      <w:tr>
        <w:tc>
          <w:p>
            <w:pPr>
              <w:pStyle w:val="Compact"/>
              <w:jc w:val="left"/>
            </w:pPr>
            <w:r>
              <w:t xml:space="preserve">AT5G43700</w:t>
            </w:r>
          </w:p>
        </w:tc>
        <w:tc>
          <w:p>
            <w:pPr>
              <w:pStyle w:val="Compact"/>
              <w:jc w:val="left"/>
            </w:pPr>
            <w:r>
              <w:t xml:space="preserve">IAA4</w:t>
            </w:r>
          </w:p>
        </w:tc>
        <w:tc>
          <w:p>
            <w:pPr>
              <w:pStyle w:val="Compact"/>
              <w:jc w:val="left"/>
            </w:pPr>
            <w:r>
              <w:t xml:space="preserve">A</w:t>
            </w:r>
          </w:p>
        </w:tc>
      </w:tr>
      <w:tr>
        <w:tc>
          <w:p>
            <w:pPr>
              <w:pStyle w:val="Compact"/>
              <w:jc w:val="left"/>
            </w:pPr>
            <w:r>
              <w:t xml:space="preserve">AT1G15580</w:t>
            </w:r>
          </w:p>
        </w:tc>
        <w:tc>
          <w:p>
            <w:pPr>
              <w:pStyle w:val="Compact"/>
              <w:jc w:val="left"/>
            </w:pPr>
            <w:r>
              <w:t xml:space="preserve">IAA5</w:t>
            </w:r>
          </w:p>
        </w:tc>
        <w:tc>
          <w:p>
            <w:pPr>
              <w:pStyle w:val="Compact"/>
              <w:jc w:val="left"/>
            </w:pPr>
            <w:r>
              <w:t xml:space="preserve">A</w:t>
            </w:r>
          </w:p>
        </w:tc>
      </w:tr>
      <w:tr>
        <w:tc>
          <w:p>
            <w:pPr>
              <w:pStyle w:val="Compact"/>
              <w:jc w:val="left"/>
            </w:pPr>
            <w:r>
              <w:t xml:space="preserve">AT1G52830</w:t>
            </w:r>
          </w:p>
        </w:tc>
        <w:tc>
          <w:p>
            <w:pPr>
              <w:pStyle w:val="Compact"/>
              <w:jc w:val="left"/>
            </w:pPr>
            <w:r>
              <w:t xml:space="preserve">IAA6</w:t>
            </w:r>
          </w:p>
        </w:tc>
        <w:tc>
          <w:p>
            <w:pPr>
              <w:pStyle w:val="Compact"/>
              <w:jc w:val="left"/>
            </w:pPr>
            <w:r>
              <w:t xml:space="preserve">A</w:t>
            </w:r>
          </w:p>
        </w:tc>
      </w:tr>
      <w:tr>
        <w:tc>
          <w:p>
            <w:pPr>
              <w:pStyle w:val="Compact"/>
              <w:jc w:val="left"/>
            </w:pPr>
            <w:r>
              <w:t xml:space="preserve">AT3G23050</w:t>
            </w:r>
          </w:p>
        </w:tc>
        <w:tc>
          <w:p>
            <w:pPr>
              <w:pStyle w:val="Compact"/>
              <w:jc w:val="left"/>
            </w:pPr>
            <w:r>
              <w:t xml:space="preserve">IAA7</w:t>
            </w:r>
          </w:p>
        </w:tc>
        <w:tc>
          <w:p>
            <w:pPr>
              <w:pStyle w:val="Compact"/>
              <w:jc w:val="left"/>
            </w:pPr>
            <w:r>
              <w:t xml:space="preserve">A</w:t>
            </w:r>
          </w:p>
        </w:tc>
      </w:tr>
      <w:tr>
        <w:tc>
          <w:p>
            <w:pPr>
              <w:pStyle w:val="Compact"/>
              <w:jc w:val="left"/>
            </w:pPr>
            <w:r>
              <w:t xml:space="preserve">AT2G22670</w:t>
            </w:r>
          </w:p>
        </w:tc>
        <w:tc>
          <w:p>
            <w:pPr>
              <w:pStyle w:val="Compact"/>
              <w:jc w:val="left"/>
            </w:pPr>
            <w:r>
              <w:t xml:space="preserve">IAA8</w:t>
            </w:r>
          </w:p>
        </w:tc>
        <w:tc>
          <w:p>
            <w:pPr>
              <w:pStyle w:val="Compact"/>
              <w:jc w:val="left"/>
            </w:pPr>
            <w:r>
              <w:t xml:space="preserve">A</w:t>
            </w:r>
          </w:p>
        </w:tc>
      </w:tr>
      <w:tr>
        <w:tc>
          <w:p>
            <w:pPr>
              <w:pStyle w:val="Compact"/>
              <w:jc w:val="left"/>
            </w:pPr>
            <w:r>
              <w:t xml:space="preserve">AT5G65670</w:t>
            </w:r>
          </w:p>
        </w:tc>
        <w:tc>
          <w:p>
            <w:pPr>
              <w:pStyle w:val="Compact"/>
              <w:jc w:val="left"/>
            </w:pPr>
            <w:r>
              <w:t xml:space="preserve">IAA9</w:t>
            </w:r>
          </w:p>
        </w:tc>
        <w:tc>
          <w:p>
            <w:pPr>
              <w:pStyle w:val="Compact"/>
              <w:jc w:val="left"/>
            </w:pPr>
            <w:r>
              <w:t xml:space="preserve">A</w:t>
            </w:r>
          </w:p>
        </w:tc>
      </w:tr>
      <w:tr>
        <w:tc>
          <w:p>
            <w:pPr>
              <w:pStyle w:val="Compact"/>
              <w:jc w:val="left"/>
            </w:pPr>
            <w:r>
              <w:t xml:space="preserve">AT1G04100</w:t>
            </w:r>
          </w:p>
        </w:tc>
        <w:tc>
          <w:p>
            <w:pPr>
              <w:pStyle w:val="Compact"/>
              <w:jc w:val="left"/>
            </w:pPr>
            <w:r>
              <w:t xml:space="preserve">IAA10</w:t>
            </w:r>
          </w:p>
        </w:tc>
        <w:tc>
          <w:p>
            <w:pPr>
              <w:pStyle w:val="Compact"/>
              <w:jc w:val="left"/>
            </w:pPr>
            <w:r>
              <w:t xml:space="preserve">B</w:t>
            </w:r>
          </w:p>
        </w:tc>
      </w:tr>
      <w:tr>
        <w:tc>
          <w:p>
            <w:pPr>
              <w:pStyle w:val="Compact"/>
              <w:jc w:val="left"/>
            </w:pPr>
            <w:r>
              <w:t xml:space="preserve">AT4G28640</w:t>
            </w:r>
          </w:p>
        </w:tc>
        <w:tc>
          <w:p>
            <w:pPr>
              <w:pStyle w:val="Compact"/>
              <w:jc w:val="left"/>
            </w:pPr>
            <w:r>
              <w:t xml:space="preserve">IAA11</w:t>
            </w:r>
          </w:p>
        </w:tc>
        <w:tc>
          <w:p>
            <w:pPr>
              <w:pStyle w:val="Compact"/>
              <w:jc w:val="left"/>
            </w:pPr>
            <w:r>
              <w:t xml:space="preserve">B</w:t>
            </w:r>
          </w:p>
        </w:tc>
      </w:tr>
      <w:tr>
        <w:tc>
          <w:p>
            <w:pPr>
              <w:pStyle w:val="Compact"/>
              <w:jc w:val="left"/>
            </w:pPr>
            <w:r>
              <w:t xml:space="preserve">AT1G04550</w:t>
            </w:r>
          </w:p>
        </w:tc>
        <w:tc>
          <w:p>
            <w:pPr>
              <w:pStyle w:val="Compact"/>
              <w:jc w:val="left"/>
            </w:pPr>
            <w:r>
              <w:t xml:space="preserve">IAA12</w:t>
            </w:r>
          </w:p>
        </w:tc>
        <w:tc>
          <w:p>
            <w:pPr>
              <w:pStyle w:val="Compact"/>
              <w:jc w:val="left"/>
            </w:pPr>
            <w:r>
              <w:t xml:space="preserve">B</w:t>
            </w:r>
          </w:p>
        </w:tc>
      </w:tr>
      <w:tr>
        <w:tc>
          <w:p>
            <w:pPr>
              <w:pStyle w:val="Compact"/>
              <w:jc w:val="left"/>
            </w:pPr>
            <w:r>
              <w:t xml:space="preserve">AT2G33310</w:t>
            </w:r>
          </w:p>
        </w:tc>
        <w:tc>
          <w:p>
            <w:pPr>
              <w:pStyle w:val="Compact"/>
              <w:jc w:val="left"/>
            </w:pPr>
            <w:r>
              <w:t xml:space="preserve">IAA13</w:t>
            </w:r>
          </w:p>
        </w:tc>
        <w:tc>
          <w:p>
            <w:pPr>
              <w:pStyle w:val="Compact"/>
              <w:jc w:val="left"/>
            </w:pPr>
            <w:r>
              <w:t xml:space="preserve">B</w:t>
            </w:r>
          </w:p>
        </w:tc>
      </w:tr>
      <w:tr>
        <w:tc>
          <w:p>
            <w:pPr>
              <w:pStyle w:val="Compact"/>
              <w:jc w:val="left"/>
            </w:pPr>
            <w:r>
              <w:t xml:space="preserve">AT4G14550</w:t>
            </w:r>
          </w:p>
        </w:tc>
        <w:tc>
          <w:p>
            <w:pPr>
              <w:pStyle w:val="Compact"/>
              <w:jc w:val="left"/>
            </w:pPr>
            <w:r>
              <w:t xml:space="preserve">IAA14</w:t>
            </w:r>
          </w:p>
        </w:tc>
        <w:tc>
          <w:p>
            <w:pPr>
              <w:pStyle w:val="Compact"/>
              <w:jc w:val="left"/>
            </w:pPr>
            <w:r>
              <w:t xml:space="preserve">A</w:t>
            </w:r>
          </w:p>
        </w:tc>
      </w:tr>
      <w:tr>
        <w:tc>
          <w:p>
            <w:pPr>
              <w:pStyle w:val="Compact"/>
              <w:jc w:val="left"/>
            </w:pPr>
            <w:r>
              <w:t xml:space="preserve">AT1G80390</w:t>
            </w:r>
          </w:p>
        </w:tc>
        <w:tc>
          <w:p>
            <w:pPr>
              <w:pStyle w:val="Compact"/>
              <w:jc w:val="left"/>
            </w:pPr>
            <w:r>
              <w:t xml:space="preserve">IAA15</w:t>
            </w:r>
          </w:p>
        </w:tc>
        <w:tc>
          <w:p>
            <w:pPr>
              <w:pStyle w:val="Compact"/>
              <w:jc w:val="left"/>
            </w:pPr>
            <w:r>
              <w:t xml:space="preserve">A</w:t>
            </w:r>
          </w:p>
        </w:tc>
      </w:tr>
      <w:tr>
        <w:tc>
          <w:p>
            <w:pPr>
              <w:pStyle w:val="Compact"/>
              <w:jc w:val="left"/>
            </w:pPr>
            <w:r>
              <w:t xml:space="preserve">AT3G04730</w:t>
            </w:r>
          </w:p>
        </w:tc>
        <w:tc>
          <w:p>
            <w:pPr>
              <w:pStyle w:val="Compact"/>
              <w:jc w:val="left"/>
            </w:pPr>
            <w:r>
              <w:t xml:space="preserve">IAA16</w:t>
            </w:r>
          </w:p>
        </w:tc>
        <w:tc>
          <w:p>
            <w:pPr>
              <w:pStyle w:val="Compact"/>
              <w:jc w:val="left"/>
            </w:pPr>
            <w:r>
              <w:t xml:space="preserve">A</w:t>
            </w:r>
          </w:p>
        </w:tc>
      </w:tr>
      <w:tr>
        <w:tc>
          <w:p>
            <w:pPr>
              <w:pStyle w:val="Compact"/>
              <w:jc w:val="left"/>
            </w:pPr>
            <w:r>
              <w:t xml:space="preserve">AT1G04250</w:t>
            </w:r>
          </w:p>
        </w:tc>
        <w:tc>
          <w:p>
            <w:pPr>
              <w:pStyle w:val="Compact"/>
              <w:jc w:val="left"/>
            </w:pPr>
            <w:r>
              <w:t xml:space="preserve">IAA17</w:t>
            </w:r>
          </w:p>
        </w:tc>
        <w:tc>
          <w:p>
            <w:pPr>
              <w:pStyle w:val="Compact"/>
              <w:jc w:val="left"/>
            </w:pPr>
            <w:r>
              <w:t xml:space="preserve">A</w:t>
            </w:r>
          </w:p>
        </w:tc>
      </w:tr>
      <w:tr>
        <w:tc>
          <w:p>
            <w:pPr>
              <w:pStyle w:val="Compact"/>
              <w:jc w:val="left"/>
            </w:pPr>
            <w:r>
              <w:t xml:space="preserve">AT1G51950</w:t>
            </w:r>
          </w:p>
        </w:tc>
        <w:tc>
          <w:p>
            <w:pPr>
              <w:pStyle w:val="Compact"/>
              <w:jc w:val="left"/>
            </w:pPr>
            <w:r>
              <w:t xml:space="preserve">IAA18</w:t>
            </w:r>
          </w:p>
        </w:tc>
        <w:tc>
          <w:p>
            <w:pPr>
              <w:pStyle w:val="Compact"/>
              <w:jc w:val="left"/>
            </w:pPr>
            <w:r>
              <w:t xml:space="preserve">B</w:t>
            </w:r>
          </w:p>
        </w:tc>
      </w:tr>
      <w:tr>
        <w:tc>
          <w:p>
            <w:pPr>
              <w:pStyle w:val="Compact"/>
              <w:jc w:val="left"/>
            </w:pPr>
            <w:r>
              <w:t xml:space="preserve">AT3G15540</w:t>
            </w:r>
          </w:p>
        </w:tc>
        <w:tc>
          <w:p>
            <w:pPr>
              <w:pStyle w:val="Compact"/>
              <w:jc w:val="left"/>
            </w:pPr>
            <w:r>
              <w:t xml:space="preserve">IAA19</w:t>
            </w:r>
          </w:p>
        </w:tc>
        <w:tc>
          <w:p>
            <w:pPr>
              <w:pStyle w:val="Compact"/>
              <w:jc w:val="left"/>
            </w:pPr>
            <w:r>
              <w:t xml:space="preserve">A</w:t>
            </w:r>
          </w:p>
        </w:tc>
      </w:tr>
      <w:tr>
        <w:tc>
          <w:p>
            <w:pPr>
              <w:pStyle w:val="Compact"/>
              <w:jc w:val="left"/>
            </w:pPr>
            <w:r>
              <w:t xml:space="preserve">AT2G46990</w:t>
            </w:r>
          </w:p>
        </w:tc>
        <w:tc>
          <w:p>
            <w:pPr>
              <w:pStyle w:val="Compact"/>
              <w:jc w:val="left"/>
            </w:pPr>
            <w:r>
              <w:t xml:space="preserve">IAA20</w:t>
            </w:r>
          </w:p>
        </w:tc>
        <w:tc>
          <w:p>
            <w:pPr>
              <w:pStyle w:val="Compact"/>
              <w:jc w:val="left"/>
            </w:pPr>
            <w:r>
              <w:t xml:space="preserve">C</w:t>
            </w:r>
          </w:p>
        </w:tc>
      </w:tr>
      <w:tr>
        <w:tc>
          <w:p>
            <w:pPr>
              <w:pStyle w:val="Compact"/>
              <w:jc w:val="left"/>
            </w:pPr>
            <w:r>
              <w:t xml:space="preserve">AT3G16500</w:t>
            </w:r>
          </w:p>
        </w:tc>
        <w:tc>
          <w:p>
            <w:pPr>
              <w:pStyle w:val="Compact"/>
              <w:jc w:val="left"/>
            </w:pPr>
            <w:r>
              <w:t xml:space="preserve">IAA26</w:t>
            </w:r>
          </w:p>
        </w:tc>
        <w:tc>
          <w:p>
            <w:pPr>
              <w:pStyle w:val="Compact"/>
              <w:jc w:val="left"/>
            </w:pPr>
            <w:r>
              <w:t xml:space="preserve">B</w:t>
            </w:r>
          </w:p>
        </w:tc>
      </w:tr>
      <w:tr>
        <w:tc>
          <w:p>
            <w:pPr>
              <w:pStyle w:val="Compact"/>
              <w:jc w:val="left"/>
            </w:pPr>
            <w:r>
              <w:t xml:space="preserve">AT4G29080</w:t>
            </w:r>
          </w:p>
        </w:tc>
        <w:tc>
          <w:p>
            <w:pPr>
              <w:pStyle w:val="Compact"/>
              <w:jc w:val="left"/>
            </w:pPr>
            <w:r>
              <w:t xml:space="preserve">IAA27</w:t>
            </w:r>
          </w:p>
        </w:tc>
        <w:tc>
          <w:p>
            <w:pPr>
              <w:pStyle w:val="Compact"/>
              <w:jc w:val="left"/>
            </w:pPr>
            <w:r>
              <w:t xml:space="preserve">A</w:t>
            </w:r>
          </w:p>
        </w:tc>
      </w:tr>
      <w:tr>
        <w:tc>
          <w:p>
            <w:pPr>
              <w:pStyle w:val="Compact"/>
              <w:jc w:val="left"/>
            </w:pPr>
            <w:r>
              <w:t xml:space="preserve">AT5G25890</w:t>
            </w:r>
          </w:p>
        </w:tc>
        <w:tc>
          <w:p>
            <w:pPr>
              <w:pStyle w:val="Compact"/>
              <w:jc w:val="left"/>
            </w:pPr>
            <w:r>
              <w:t xml:space="preserve">IAA28</w:t>
            </w:r>
          </w:p>
        </w:tc>
        <w:tc>
          <w:p>
            <w:pPr>
              <w:pStyle w:val="Compact"/>
              <w:jc w:val="left"/>
            </w:pPr>
            <w:r>
              <w:t xml:space="preserve">B</w:t>
            </w:r>
          </w:p>
        </w:tc>
      </w:tr>
      <w:tr>
        <w:tc>
          <w:p>
            <w:pPr>
              <w:pStyle w:val="Compact"/>
              <w:jc w:val="left"/>
            </w:pPr>
            <w:r>
              <w:t xml:space="preserve">AT4G32280</w:t>
            </w:r>
          </w:p>
        </w:tc>
        <w:tc>
          <w:p>
            <w:pPr>
              <w:pStyle w:val="Compact"/>
              <w:jc w:val="left"/>
            </w:pPr>
            <w:r>
              <w:t xml:space="preserve">IAA29</w:t>
            </w:r>
          </w:p>
        </w:tc>
        <w:tc>
          <w:p>
            <w:pPr>
              <w:pStyle w:val="Compact"/>
              <w:jc w:val="left"/>
            </w:pPr>
            <w:r>
              <w:t xml:space="preserve">C</w:t>
            </w:r>
          </w:p>
        </w:tc>
      </w:tr>
      <w:tr>
        <w:tc>
          <w:p>
            <w:pPr>
              <w:pStyle w:val="Compact"/>
              <w:jc w:val="left"/>
            </w:pPr>
            <w:r>
              <w:t xml:space="preserve">AT3G62100</w:t>
            </w:r>
          </w:p>
        </w:tc>
        <w:tc>
          <w:p>
            <w:pPr>
              <w:pStyle w:val="Compact"/>
              <w:jc w:val="left"/>
            </w:pPr>
            <w:r>
              <w:t xml:space="preserve">IAA30</w:t>
            </w:r>
          </w:p>
        </w:tc>
        <w:tc>
          <w:p>
            <w:pPr>
              <w:pStyle w:val="Compact"/>
              <w:jc w:val="left"/>
            </w:pPr>
            <w:r>
              <w:t xml:space="preserve">C</w:t>
            </w:r>
          </w:p>
        </w:tc>
      </w:tr>
      <w:tr>
        <w:tc>
          <w:p>
            <w:pPr>
              <w:pStyle w:val="Compact"/>
              <w:jc w:val="left"/>
            </w:pPr>
            <w:r>
              <w:t xml:space="preserve">AT3G17600</w:t>
            </w:r>
          </w:p>
        </w:tc>
        <w:tc>
          <w:p>
            <w:pPr>
              <w:pStyle w:val="Compact"/>
              <w:jc w:val="left"/>
            </w:pPr>
            <w:r>
              <w:t xml:space="preserve">IAA31</w:t>
            </w:r>
          </w:p>
        </w:tc>
        <w:tc>
          <w:p>
            <w:pPr>
              <w:pStyle w:val="Compact"/>
              <w:jc w:val="left"/>
            </w:pPr>
            <w:r>
              <w:t xml:space="preserve">C</w:t>
            </w:r>
          </w:p>
        </w:tc>
      </w:tr>
      <w:tr>
        <w:tc>
          <w:p>
            <w:pPr>
              <w:pStyle w:val="Compact"/>
              <w:jc w:val="left"/>
            </w:pPr>
            <w:r>
              <w:t xml:space="preserve">AT2G01200</w:t>
            </w:r>
          </w:p>
        </w:tc>
        <w:tc>
          <w:p>
            <w:pPr>
              <w:pStyle w:val="Compact"/>
              <w:jc w:val="left"/>
            </w:pPr>
            <w:r>
              <w:t xml:space="preserve">IAA32</w:t>
            </w:r>
          </w:p>
        </w:tc>
        <w:tc>
          <w:p>
            <w:pPr>
              <w:pStyle w:val="Compact"/>
              <w:jc w:val="left"/>
            </w:pPr>
            <w:r>
              <w:t xml:space="preserve">C</w:t>
            </w:r>
          </w:p>
        </w:tc>
      </w:tr>
      <w:tr>
        <w:tc>
          <w:p>
            <w:pPr>
              <w:pStyle w:val="Compact"/>
              <w:jc w:val="left"/>
            </w:pPr>
            <w:r>
              <w:t xml:space="preserve">AT5G57420</w:t>
            </w:r>
          </w:p>
        </w:tc>
        <w:tc>
          <w:p>
            <w:pPr>
              <w:pStyle w:val="Compact"/>
              <w:jc w:val="left"/>
            </w:pPr>
            <w:r>
              <w:t xml:space="preserve">IAA33</w:t>
            </w:r>
          </w:p>
        </w:tc>
        <w:tc>
          <w:p>
            <w:pPr>
              <w:pStyle w:val="Compact"/>
              <w:jc w:val="left"/>
            </w:pPr>
            <w:r>
              <w:t xml:space="preserve">C</w:t>
            </w:r>
          </w:p>
        </w:tc>
      </w:tr>
      <w:tr>
        <w:tc>
          <w:p>
            <w:pPr>
              <w:pStyle w:val="Compact"/>
              <w:jc w:val="left"/>
            </w:pPr>
            <w:r>
              <w:t xml:space="preserve">AT1G15050</w:t>
            </w:r>
          </w:p>
        </w:tc>
        <w:tc>
          <w:p>
            <w:pPr>
              <w:pStyle w:val="Compact"/>
              <w:jc w:val="left"/>
            </w:pPr>
            <w:r>
              <w:t xml:space="preserve">IAA34</w:t>
            </w:r>
          </w:p>
        </w:tc>
        <w:tc>
          <w:p>
            <w:pPr>
              <w:pStyle w:val="Compact"/>
              <w:jc w:val="left"/>
            </w:pPr>
            <w:r>
              <w:t xml:space="preserve">C</w:t>
            </w:r>
          </w:p>
        </w:tc>
      </w:tr>
      <w:tr>
        <w:tc>
          <w:p>
            <w:pPr>
              <w:pStyle w:val="Compact"/>
              <w:jc w:val="left"/>
            </w:pPr>
            <w:r>
              <w:t xml:space="preserve">AT1G15750</w:t>
            </w:r>
          </w:p>
        </w:tc>
        <w:tc>
          <w:p>
            <w:pPr>
              <w:pStyle w:val="Compact"/>
              <w:jc w:val="left"/>
            </w:pPr>
            <w:r>
              <w:t xml:space="preserve">TPL</w:t>
            </w:r>
          </w:p>
        </w:tc>
        <w:tc>
          <w:p>
            <w:pPr>
              <w:pStyle w:val="Compact"/>
              <w:jc w:val="left"/>
            </w:pPr>
            <w:r>
              <w:t xml:space="preserve">NA</w:t>
            </w:r>
          </w:p>
        </w:tc>
      </w:tr>
      <w:tr>
        <w:tc>
          <w:p>
            <w:pPr>
              <w:pStyle w:val="Compact"/>
              <w:jc w:val="left"/>
            </w:pPr>
            <w:r>
              <w:t xml:space="preserve">AT1G80490</w:t>
            </w:r>
          </w:p>
        </w:tc>
        <w:tc>
          <w:p>
            <w:pPr>
              <w:pStyle w:val="Compact"/>
              <w:jc w:val="left"/>
            </w:pPr>
            <w:r>
              <w:t xml:space="preserve">TPR1</w:t>
            </w:r>
          </w:p>
        </w:tc>
        <w:tc>
          <w:p>
            <w:pPr>
              <w:pStyle w:val="Compact"/>
              <w:jc w:val="left"/>
            </w:pPr>
            <w:r>
              <w:t xml:space="preserve">NA</w:t>
            </w:r>
          </w:p>
        </w:tc>
      </w:tr>
      <w:tr>
        <w:tc>
          <w:p>
            <w:pPr>
              <w:pStyle w:val="Compact"/>
              <w:jc w:val="left"/>
            </w:pPr>
            <w:r>
              <w:t xml:space="preserve">AT3G16830</w:t>
            </w:r>
          </w:p>
        </w:tc>
        <w:tc>
          <w:p>
            <w:pPr>
              <w:pStyle w:val="Compact"/>
              <w:jc w:val="left"/>
            </w:pPr>
            <w:r>
              <w:t xml:space="preserve">TPR2</w:t>
            </w:r>
          </w:p>
        </w:tc>
        <w:tc>
          <w:p>
            <w:pPr>
              <w:pStyle w:val="Compact"/>
              <w:jc w:val="left"/>
            </w:pPr>
            <w:r>
              <w:t xml:space="preserve">NA</w:t>
            </w:r>
          </w:p>
        </w:tc>
      </w:tr>
      <w:tr>
        <w:tc>
          <w:p>
            <w:pPr>
              <w:pStyle w:val="Compact"/>
              <w:jc w:val="left"/>
            </w:pPr>
            <w:r>
              <w:t xml:space="preserve">AT5G27030</w:t>
            </w:r>
          </w:p>
        </w:tc>
        <w:tc>
          <w:p>
            <w:pPr>
              <w:pStyle w:val="Compact"/>
              <w:jc w:val="left"/>
            </w:pPr>
            <w:r>
              <w:t xml:space="preserve">TPR3</w:t>
            </w:r>
          </w:p>
        </w:tc>
        <w:tc>
          <w:p>
            <w:pPr>
              <w:pStyle w:val="Compact"/>
              <w:jc w:val="left"/>
            </w:pPr>
            <w:r>
              <w:t xml:space="preserve">NA</w:t>
            </w:r>
          </w:p>
        </w:tc>
      </w:tr>
      <w:tr>
        <w:tc>
          <w:p>
            <w:pPr>
              <w:pStyle w:val="Compact"/>
              <w:jc w:val="left"/>
            </w:pPr>
            <w:r>
              <w:t xml:space="preserve">AT3G15880</w:t>
            </w:r>
          </w:p>
        </w:tc>
        <w:tc>
          <w:p>
            <w:pPr>
              <w:pStyle w:val="Compact"/>
              <w:jc w:val="left"/>
            </w:pPr>
            <w:r>
              <w:t xml:space="preserve">TPR4</w:t>
            </w:r>
          </w:p>
        </w:tc>
        <w:tc>
          <w:p>
            <w:pPr>
              <w:pStyle w:val="Compact"/>
              <w:jc w:val="left"/>
            </w:pPr>
            <w:r>
              <w:t xml:space="preserve">NA</w:t>
            </w:r>
          </w:p>
        </w:tc>
      </w:tr>
      <w:tr>
        <w:tc>
          <w:p>
            <w:pPr>
              <w:pStyle w:val="Compact"/>
              <w:jc w:val="left"/>
            </w:pPr>
            <w:r>
              <w:t xml:space="preserve">AT1G59750</w:t>
            </w:r>
          </w:p>
        </w:tc>
        <w:tc>
          <w:p>
            <w:pPr>
              <w:pStyle w:val="Compact"/>
              <w:jc w:val="left"/>
            </w:pPr>
            <w:r>
              <w:t xml:space="preserve">ARF1</w:t>
            </w:r>
          </w:p>
        </w:tc>
        <w:tc>
          <w:p>
            <w:pPr>
              <w:pStyle w:val="Compact"/>
              <w:jc w:val="left"/>
            </w:pPr>
            <w:r>
              <w:t xml:space="preserve">B</w:t>
            </w:r>
          </w:p>
        </w:tc>
      </w:tr>
      <w:tr>
        <w:tc>
          <w:p>
            <w:pPr>
              <w:pStyle w:val="Compact"/>
              <w:jc w:val="left"/>
            </w:pPr>
            <w:r>
              <w:t xml:space="preserve">AT5G62000</w:t>
            </w:r>
          </w:p>
        </w:tc>
        <w:tc>
          <w:p>
            <w:pPr>
              <w:pStyle w:val="Compact"/>
              <w:jc w:val="left"/>
            </w:pPr>
            <w:r>
              <w:t xml:space="preserve">ARF2</w:t>
            </w:r>
          </w:p>
        </w:tc>
        <w:tc>
          <w:p>
            <w:pPr>
              <w:pStyle w:val="Compact"/>
              <w:jc w:val="left"/>
            </w:pPr>
            <w:r>
              <w:t xml:space="preserve">B</w:t>
            </w:r>
          </w:p>
        </w:tc>
      </w:tr>
      <w:tr>
        <w:tc>
          <w:p>
            <w:pPr>
              <w:pStyle w:val="Compact"/>
              <w:jc w:val="left"/>
            </w:pPr>
            <w:r>
              <w:t xml:space="preserve">AT2G33860</w:t>
            </w:r>
          </w:p>
        </w:tc>
        <w:tc>
          <w:p>
            <w:pPr>
              <w:pStyle w:val="Compact"/>
              <w:jc w:val="left"/>
            </w:pPr>
            <w:r>
              <w:t xml:space="preserve">ARF3</w:t>
            </w:r>
          </w:p>
        </w:tc>
        <w:tc>
          <w:p>
            <w:pPr>
              <w:pStyle w:val="Compact"/>
              <w:jc w:val="left"/>
            </w:pPr>
            <w:r>
              <w:t xml:space="preserve">B</w:t>
            </w:r>
          </w:p>
        </w:tc>
      </w:tr>
      <w:tr>
        <w:tc>
          <w:p>
            <w:pPr>
              <w:pStyle w:val="Compact"/>
              <w:jc w:val="left"/>
            </w:pPr>
            <w:r>
              <w:t xml:space="preserve">AT5G60450</w:t>
            </w:r>
          </w:p>
        </w:tc>
        <w:tc>
          <w:p>
            <w:pPr>
              <w:pStyle w:val="Compact"/>
              <w:jc w:val="left"/>
            </w:pPr>
            <w:r>
              <w:t xml:space="preserve">ARF4</w:t>
            </w:r>
          </w:p>
        </w:tc>
        <w:tc>
          <w:p>
            <w:pPr>
              <w:pStyle w:val="Compact"/>
              <w:jc w:val="left"/>
            </w:pPr>
            <w:r>
              <w:t xml:space="preserve">B</w:t>
            </w:r>
          </w:p>
        </w:tc>
      </w:tr>
      <w:tr>
        <w:tc>
          <w:p>
            <w:pPr>
              <w:pStyle w:val="Compact"/>
              <w:jc w:val="left"/>
            </w:pPr>
            <w:r>
              <w:t xml:space="preserve">AT1G19850</w:t>
            </w:r>
          </w:p>
        </w:tc>
        <w:tc>
          <w:p>
            <w:pPr>
              <w:pStyle w:val="Compact"/>
              <w:jc w:val="left"/>
            </w:pPr>
            <w:r>
              <w:t xml:space="preserve">ARF5</w:t>
            </w:r>
          </w:p>
        </w:tc>
        <w:tc>
          <w:p>
            <w:pPr>
              <w:pStyle w:val="Compact"/>
              <w:jc w:val="left"/>
            </w:pPr>
            <w:r>
              <w:t xml:space="preserve">A</w:t>
            </w:r>
          </w:p>
        </w:tc>
      </w:tr>
      <w:tr>
        <w:tc>
          <w:p>
            <w:pPr>
              <w:pStyle w:val="Compact"/>
              <w:jc w:val="left"/>
            </w:pPr>
            <w:r>
              <w:t xml:space="preserve">AT1G30330</w:t>
            </w:r>
          </w:p>
        </w:tc>
        <w:tc>
          <w:p>
            <w:pPr>
              <w:pStyle w:val="Compact"/>
              <w:jc w:val="left"/>
            </w:pPr>
            <w:r>
              <w:t xml:space="preserve">ARF6</w:t>
            </w:r>
          </w:p>
        </w:tc>
        <w:tc>
          <w:p>
            <w:pPr>
              <w:pStyle w:val="Compact"/>
              <w:jc w:val="left"/>
            </w:pPr>
            <w:r>
              <w:t xml:space="preserve">A</w:t>
            </w:r>
          </w:p>
        </w:tc>
      </w:tr>
      <w:tr>
        <w:tc>
          <w:p>
            <w:pPr>
              <w:pStyle w:val="Compact"/>
              <w:jc w:val="left"/>
            </w:pPr>
            <w:r>
              <w:t xml:space="preserve">AT5G20730</w:t>
            </w:r>
          </w:p>
        </w:tc>
        <w:tc>
          <w:p>
            <w:pPr>
              <w:pStyle w:val="Compact"/>
              <w:jc w:val="left"/>
            </w:pPr>
            <w:r>
              <w:t xml:space="preserve">ARF7</w:t>
            </w:r>
          </w:p>
        </w:tc>
        <w:tc>
          <w:p>
            <w:pPr>
              <w:pStyle w:val="Compact"/>
              <w:jc w:val="left"/>
            </w:pPr>
            <w:r>
              <w:t xml:space="preserve">A</w:t>
            </w:r>
          </w:p>
        </w:tc>
      </w:tr>
      <w:tr>
        <w:tc>
          <w:p>
            <w:pPr>
              <w:pStyle w:val="Compact"/>
              <w:jc w:val="left"/>
            </w:pPr>
            <w:r>
              <w:t xml:space="preserve">AT5G37020</w:t>
            </w:r>
          </w:p>
        </w:tc>
        <w:tc>
          <w:p>
            <w:pPr>
              <w:pStyle w:val="Compact"/>
              <w:jc w:val="left"/>
            </w:pPr>
            <w:r>
              <w:t xml:space="preserve">ARF8</w:t>
            </w:r>
          </w:p>
        </w:tc>
        <w:tc>
          <w:p>
            <w:pPr>
              <w:pStyle w:val="Compact"/>
              <w:jc w:val="left"/>
            </w:pPr>
            <w:r>
              <w:t xml:space="preserve">A</w:t>
            </w:r>
          </w:p>
        </w:tc>
      </w:tr>
      <w:tr>
        <w:tc>
          <w:p>
            <w:pPr>
              <w:pStyle w:val="Compact"/>
              <w:jc w:val="left"/>
            </w:pPr>
            <w:r>
              <w:t xml:space="preserve">AT4G23980</w:t>
            </w:r>
          </w:p>
        </w:tc>
        <w:tc>
          <w:p>
            <w:pPr>
              <w:pStyle w:val="Compact"/>
              <w:jc w:val="left"/>
            </w:pPr>
            <w:r>
              <w:t xml:space="preserve">ARF9</w:t>
            </w:r>
          </w:p>
        </w:tc>
        <w:tc>
          <w:p>
            <w:pPr>
              <w:pStyle w:val="Compact"/>
              <w:jc w:val="left"/>
            </w:pPr>
            <w:r>
              <w:t xml:space="preserve">B</w:t>
            </w:r>
          </w:p>
        </w:tc>
      </w:tr>
      <w:tr>
        <w:tc>
          <w:p>
            <w:pPr>
              <w:pStyle w:val="Compact"/>
              <w:jc w:val="left"/>
            </w:pPr>
            <w:r>
              <w:t xml:space="preserve">AT2G28350</w:t>
            </w:r>
          </w:p>
        </w:tc>
        <w:tc>
          <w:p>
            <w:pPr>
              <w:pStyle w:val="Compact"/>
              <w:jc w:val="left"/>
            </w:pPr>
            <w:r>
              <w:t xml:space="preserve">ARF10</w:t>
            </w:r>
          </w:p>
        </w:tc>
        <w:tc>
          <w:p>
            <w:pPr>
              <w:pStyle w:val="Compact"/>
              <w:jc w:val="left"/>
            </w:pPr>
            <w:r>
              <w:t xml:space="preserve">C</w:t>
            </w:r>
          </w:p>
        </w:tc>
      </w:tr>
      <w:tr>
        <w:tc>
          <w:p>
            <w:pPr>
              <w:pStyle w:val="Compact"/>
              <w:jc w:val="left"/>
            </w:pPr>
            <w:r>
              <w:t xml:space="preserve">AT2G46530</w:t>
            </w:r>
          </w:p>
        </w:tc>
        <w:tc>
          <w:p>
            <w:pPr>
              <w:pStyle w:val="Compact"/>
              <w:jc w:val="left"/>
            </w:pPr>
            <w:r>
              <w:t xml:space="preserve">ARF11</w:t>
            </w:r>
          </w:p>
        </w:tc>
        <w:tc>
          <w:p>
            <w:pPr>
              <w:pStyle w:val="Compact"/>
              <w:jc w:val="left"/>
            </w:pPr>
            <w:r>
              <w:t xml:space="preserve">B</w:t>
            </w:r>
          </w:p>
        </w:tc>
      </w:tr>
      <w:tr>
        <w:tc>
          <w:p>
            <w:pPr>
              <w:pStyle w:val="Compact"/>
              <w:jc w:val="left"/>
            </w:pPr>
            <w:r>
              <w:t xml:space="preserve">AT1G34310</w:t>
            </w:r>
          </w:p>
        </w:tc>
        <w:tc>
          <w:p>
            <w:pPr>
              <w:pStyle w:val="Compact"/>
              <w:jc w:val="left"/>
            </w:pPr>
            <w:r>
              <w:t xml:space="preserve">ARF12</w:t>
            </w:r>
          </w:p>
        </w:tc>
        <w:tc>
          <w:p>
            <w:pPr>
              <w:pStyle w:val="Compact"/>
              <w:jc w:val="left"/>
            </w:pPr>
            <w:r>
              <w:t xml:space="preserve">B</w:t>
            </w:r>
          </w:p>
        </w:tc>
      </w:tr>
      <w:tr>
        <w:tc>
          <w:p>
            <w:pPr>
              <w:pStyle w:val="Compact"/>
              <w:jc w:val="left"/>
            </w:pPr>
            <w:r>
              <w:t xml:space="preserve">AT1G34170</w:t>
            </w:r>
          </w:p>
        </w:tc>
        <w:tc>
          <w:p>
            <w:pPr>
              <w:pStyle w:val="Compact"/>
              <w:jc w:val="left"/>
            </w:pPr>
            <w:r>
              <w:t xml:space="preserve">ARF13</w:t>
            </w:r>
          </w:p>
        </w:tc>
        <w:tc>
          <w:p>
            <w:pPr>
              <w:pStyle w:val="Compact"/>
              <w:jc w:val="left"/>
            </w:pPr>
            <w:r>
              <w:t xml:space="preserve">B</w:t>
            </w:r>
          </w:p>
        </w:tc>
      </w:tr>
      <w:tr>
        <w:tc>
          <w:p>
            <w:pPr>
              <w:pStyle w:val="Compact"/>
              <w:jc w:val="left"/>
            </w:pPr>
            <w:r>
              <w:t xml:space="preserve">AT1G35540</w:t>
            </w:r>
          </w:p>
        </w:tc>
        <w:tc>
          <w:p>
            <w:pPr>
              <w:pStyle w:val="Compact"/>
              <w:jc w:val="left"/>
            </w:pPr>
            <w:r>
              <w:t xml:space="preserve">ARF14</w:t>
            </w:r>
          </w:p>
        </w:tc>
        <w:tc>
          <w:p>
            <w:pPr>
              <w:pStyle w:val="Compact"/>
              <w:jc w:val="left"/>
            </w:pPr>
            <w:r>
              <w:t xml:space="preserve">B</w:t>
            </w:r>
          </w:p>
        </w:tc>
      </w:tr>
      <w:tr>
        <w:tc>
          <w:p>
            <w:pPr>
              <w:pStyle w:val="Compact"/>
              <w:jc w:val="left"/>
            </w:pPr>
            <w:r>
              <w:t xml:space="preserve">AT1G35520</w:t>
            </w:r>
          </w:p>
        </w:tc>
        <w:tc>
          <w:p>
            <w:pPr>
              <w:pStyle w:val="Compact"/>
              <w:jc w:val="left"/>
            </w:pPr>
            <w:r>
              <w:t xml:space="preserve">ARF15</w:t>
            </w:r>
          </w:p>
        </w:tc>
        <w:tc>
          <w:p>
            <w:pPr>
              <w:pStyle w:val="Compact"/>
              <w:jc w:val="left"/>
            </w:pPr>
            <w:r>
              <w:t xml:space="preserve">B</w:t>
            </w:r>
          </w:p>
        </w:tc>
      </w:tr>
      <w:tr>
        <w:tc>
          <w:p>
            <w:pPr>
              <w:pStyle w:val="Compact"/>
              <w:jc w:val="left"/>
            </w:pPr>
            <w:r>
              <w:t xml:space="preserve">AT4G30080</w:t>
            </w:r>
          </w:p>
        </w:tc>
        <w:tc>
          <w:p>
            <w:pPr>
              <w:pStyle w:val="Compact"/>
              <w:jc w:val="left"/>
            </w:pPr>
            <w:r>
              <w:t xml:space="preserve">ARF16</w:t>
            </w:r>
          </w:p>
        </w:tc>
        <w:tc>
          <w:p>
            <w:pPr>
              <w:pStyle w:val="Compact"/>
              <w:jc w:val="left"/>
            </w:pPr>
            <w:r>
              <w:t xml:space="preserve">C</w:t>
            </w:r>
          </w:p>
        </w:tc>
      </w:tr>
      <w:tr>
        <w:tc>
          <w:p>
            <w:pPr>
              <w:pStyle w:val="Compact"/>
              <w:jc w:val="left"/>
            </w:pPr>
            <w:r>
              <w:t xml:space="preserve">AT1G77850</w:t>
            </w:r>
          </w:p>
        </w:tc>
        <w:tc>
          <w:p>
            <w:pPr>
              <w:pStyle w:val="Compact"/>
              <w:jc w:val="left"/>
            </w:pPr>
            <w:r>
              <w:t xml:space="preserve">ARF17</w:t>
            </w:r>
          </w:p>
        </w:tc>
        <w:tc>
          <w:p>
            <w:pPr>
              <w:pStyle w:val="Compact"/>
              <w:jc w:val="left"/>
            </w:pPr>
            <w:r>
              <w:t xml:space="preserve">C</w:t>
            </w:r>
          </w:p>
        </w:tc>
      </w:tr>
      <w:tr>
        <w:tc>
          <w:p>
            <w:pPr>
              <w:pStyle w:val="Compact"/>
              <w:jc w:val="left"/>
            </w:pPr>
            <w:r>
              <w:t xml:space="preserve">AT3G61830</w:t>
            </w:r>
          </w:p>
        </w:tc>
        <w:tc>
          <w:p>
            <w:pPr>
              <w:pStyle w:val="Compact"/>
              <w:jc w:val="left"/>
            </w:pPr>
            <w:r>
              <w:t xml:space="preserve">ARF18</w:t>
            </w:r>
          </w:p>
        </w:tc>
        <w:tc>
          <w:p>
            <w:pPr>
              <w:pStyle w:val="Compact"/>
              <w:jc w:val="left"/>
            </w:pPr>
            <w:r>
              <w:t xml:space="preserve">B</w:t>
            </w:r>
          </w:p>
        </w:tc>
      </w:tr>
      <w:tr>
        <w:tc>
          <w:p>
            <w:pPr>
              <w:pStyle w:val="Compact"/>
              <w:jc w:val="left"/>
            </w:pPr>
            <w:r>
              <w:t xml:space="preserve">AT1G19220</w:t>
            </w:r>
          </w:p>
        </w:tc>
        <w:tc>
          <w:p>
            <w:pPr>
              <w:pStyle w:val="Compact"/>
              <w:jc w:val="left"/>
            </w:pPr>
            <w:r>
              <w:t xml:space="preserve">ARF19</w:t>
            </w:r>
          </w:p>
        </w:tc>
        <w:tc>
          <w:p>
            <w:pPr>
              <w:pStyle w:val="Compact"/>
              <w:jc w:val="left"/>
            </w:pPr>
            <w:r>
              <w:t xml:space="preserve">A</w:t>
            </w:r>
          </w:p>
        </w:tc>
      </w:tr>
      <w:tr>
        <w:tc>
          <w:p>
            <w:pPr>
              <w:pStyle w:val="Compact"/>
              <w:jc w:val="left"/>
            </w:pPr>
            <w:r>
              <w:t xml:space="preserve">AT1G35240</w:t>
            </w:r>
          </w:p>
        </w:tc>
        <w:tc>
          <w:p>
            <w:pPr>
              <w:pStyle w:val="Compact"/>
              <w:jc w:val="left"/>
            </w:pPr>
            <w:r>
              <w:t xml:space="preserve">ARF20</w:t>
            </w:r>
          </w:p>
        </w:tc>
        <w:tc>
          <w:p>
            <w:pPr>
              <w:pStyle w:val="Compact"/>
              <w:jc w:val="left"/>
            </w:pPr>
            <w:r>
              <w:t xml:space="preserve">B</w:t>
            </w:r>
          </w:p>
        </w:tc>
      </w:tr>
      <w:tr>
        <w:tc>
          <w:p>
            <w:pPr>
              <w:pStyle w:val="Compact"/>
              <w:jc w:val="left"/>
            </w:pPr>
            <w:r>
              <w:t xml:space="preserve">AT1G34410</w:t>
            </w:r>
          </w:p>
        </w:tc>
        <w:tc>
          <w:p>
            <w:pPr>
              <w:pStyle w:val="Compact"/>
              <w:jc w:val="left"/>
            </w:pPr>
            <w:r>
              <w:t xml:space="preserve">ARF21</w:t>
            </w:r>
          </w:p>
        </w:tc>
        <w:tc>
          <w:p>
            <w:pPr>
              <w:pStyle w:val="Compact"/>
              <w:jc w:val="left"/>
            </w:pPr>
            <w:r>
              <w:t xml:space="preserve">B</w:t>
            </w:r>
          </w:p>
        </w:tc>
      </w:tr>
      <w:tr>
        <w:tc>
          <w:p>
            <w:pPr>
              <w:pStyle w:val="Compact"/>
              <w:jc w:val="left"/>
            </w:pPr>
            <w:r>
              <w:t xml:space="preserve">AT1G34390</w:t>
            </w:r>
          </w:p>
        </w:tc>
        <w:tc>
          <w:p>
            <w:pPr>
              <w:pStyle w:val="Compact"/>
              <w:jc w:val="left"/>
            </w:pPr>
            <w:r>
              <w:t xml:space="preserve">ARF22</w:t>
            </w:r>
          </w:p>
        </w:tc>
        <w:tc>
          <w:p>
            <w:pPr>
              <w:pStyle w:val="Compact"/>
              <w:jc w:val="left"/>
            </w:pPr>
            <w:r>
              <w:t xml:space="preserve">B</w:t>
            </w:r>
          </w:p>
        </w:tc>
      </w:tr>
      <w:tr>
        <w:tc>
          <w:p>
            <w:pPr>
              <w:pStyle w:val="Compact"/>
              <w:jc w:val="left"/>
            </w:pPr>
            <w:r>
              <w:t xml:space="preserve">AT1G43950</w:t>
            </w:r>
          </w:p>
        </w:tc>
        <w:tc>
          <w:p>
            <w:pPr>
              <w:pStyle w:val="Compact"/>
              <w:jc w:val="left"/>
            </w:pPr>
            <w:r>
              <w:t xml:space="preserve">ARF23</w:t>
            </w:r>
          </w:p>
        </w:tc>
        <w:tc>
          <w:p>
            <w:pPr>
              <w:pStyle w:val="Compact"/>
              <w:jc w:val="left"/>
            </w:pPr>
            <w:r>
              <w:t xml:space="preserve">B</w:t>
            </w:r>
          </w:p>
        </w:tc>
      </w:tr>
    </w:tbl>
    <w:p>
      <w:pPr>
        <w:pStyle w:val="Heading2"/>
      </w:pPr>
      <w:bookmarkStart w:id="54" w:name="ranking-of-variant-functional-effects"/>
      <w:r>
        <w:t xml:space="preserve">Ranking of variant functional effects</w:t>
      </w:r>
      <w:bookmarkEnd w:id="54"/>
    </w:p>
    <w:p>
      <w:pPr>
        <w:pStyle w:val="FirstParagraph"/>
      </w:pPr>
      <w:r>
        <w:t xml:space="preserve">Alignments were colored according to the strongest effect variant allele occurring at any frequency at that position as reported in the SnpEFF</w:t>
      </w:r>
      <w:r>
        <w:t xml:space="preserve"> </w:t>
      </w:r>
      <w:r>
        <w:t xml:space="preserve">“</w:t>
      </w:r>
      <w:r>
        <w:t xml:space="preserve">effect</w:t>
      </w:r>
      <w:r>
        <w:t xml:space="preserve">”</w:t>
      </w:r>
      <w:r>
        <w:t xml:space="preserve"> </w:t>
      </w:r>
      <w:r>
        <w:t xml:space="preserve">field, per the scale in Figure</w:t>
      </w:r>
      <w:r>
        <w:t xml:space="preserve"> </w:t>
      </w:r>
      <w:r>
        <w:t xml:space="preserve">5</w:t>
      </w:r>
      <w:r>
        <w:t xml:space="preserve">.</w:t>
      </w:r>
    </w:p>
    <w:p>
      <w:pPr>
        <w:pStyle w:val="CaptionedFigure"/>
      </w:pPr>
      <w:r>
        <w:drawing>
          <wp:inline>
            <wp:extent cx="5334000" cy="3048000"/>
            <wp:effectExtent b="0" l="0" r="0" t="0"/>
            <wp:docPr descr="Figure 5 Rank order of the strength of functional effects Variant effect classes were ordered by subjective prediction of average strength of effect on gene function. Strength was then assigned to each effect on an integer scale." title="" id="1" name="Picture"/>
            <a:graphic>
              <a:graphicData uri="http://schemas.openxmlformats.org/drawingml/2006/picture">
                <pic:pic>
                  <pic:nvPicPr>
                    <pic:cNvPr descr="manuscript_files/figure-docx/SNPeff-order-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Rank order of the strength of functional effects</w:t>
      </w:r>
      <w:r>
        <w:t xml:space="preserve"> </w:t>
      </w:r>
      <w:r>
        <w:t xml:space="preserve">Variant effect classes were ordered by subjective prediction of average strength of effect on gene function. Strength was then assigned to each effect on an integer scale.</w:t>
      </w:r>
    </w:p>
    <w:p>
      <w:pPr>
        <w:pStyle w:val="Heading2"/>
      </w:pPr>
      <w:bookmarkStart w:id="56" w:name="nucleotide-diversity-calculation"/>
      <w:r>
        <w:t xml:space="preserve">Nucleotide Diversity Calculation</w:t>
      </w:r>
      <w:bookmarkEnd w:id="56"/>
    </w:p>
    <w:p>
      <w:pPr>
        <w:pStyle w:val="FirstParagraph"/>
      </w:pPr>
      <w:r>
        <w:t xml:space="preserve">Nei and Li defined the nucleotide diversity statistic in their original paper as:</w:t>
      </w:r>
      <w:r>
        <w:t xml:space="preserve"> </w:t>
      </w:r>
      <w:r>
        <w:t xml:space="preserve">“</w:t>
      </w:r>
      <w:r>
        <w:t xml:space="preserve">the average number of nucleotide differences per site between two randomly chosen DNA sequences</w:t>
      </w:r>
      <w:r>
        <w:t xml:space="preserve">”</w:t>
      </w:r>
      <w:r>
        <w:t xml:space="preserve"> </w:t>
      </w:r>
      <w:r>
        <w:t xml:space="preserve">(Nei and Li</w:t>
      </w:r>
      <w:r>
        <w:t xml:space="preserve"> </w:t>
      </w:r>
      <w:hyperlink w:anchor="ref-nei_mathematical_1979">
        <w:r>
          <w:rPr>
            <w:rStyle w:val="Hyperlink"/>
          </w:rPr>
          <w:t xml:space="preserve">1979</w:t>
        </w:r>
      </w:hyperlink>
      <w:r>
        <w:t xml:space="preserve">)</w:t>
      </w:r>
      <w:r>
        <w:t xml:space="preserve">, and provided the equation:</w:t>
      </w:r>
    </w:p>
    <w:p>
      <w:pPr>
        <w:pStyle w:val="BodyText"/>
      </w:pPr>
      <m:oMathPara>
        <m:oMathParaPr>
          <m:jc m:val="center"/>
        </m:oMathParaPr>
        <m:oMath>
          <m:r>
            <m:t>π</m:t>
          </m:r>
          <m:r>
            <m:t>=</m:t>
          </m:r>
          <m:nary>
            <m:naryPr>
              <m:chr m:val="∑"/>
              <m:limLoc m:val="undOvr"/>
              <m:subHide m:val="0"/>
              <m:supHide m:val="1"/>
            </m:naryPr>
            <m:sub>
              <m:r>
                <m:t>i</m:t>
              </m:r>
              <m:r>
                <m:t>j</m:t>
              </m:r>
            </m:sub>
            <m:sup>
              <m:r>
                <m:t>​</m:t>
              </m:r>
            </m:sup>
            <m:e>
              <m:sSub>
                <m:e>
                  <m:r>
                    <m:t>x</m:t>
                  </m:r>
                </m:e>
                <m:sub>
                  <m:r>
                    <m:t>i</m:t>
                  </m:r>
                </m:sub>
              </m:sSub>
            </m:e>
          </m:nary>
          <m:sSub>
            <m:e>
              <m:r>
                <m:t>x</m:t>
              </m:r>
            </m:e>
            <m:sub>
              <m:r>
                <m:t>j</m:t>
              </m:r>
            </m:sub>
          </m:sSub>
          <m:sSub>
            <m:e>
              <m:r>
                <m:t>π</m:t>
              </m:r>
            </m:e>
            <m:sub>
              <m:r>
                <m:t>i</m:t>
              </m:r>
              <m:r>
                <m:t>j</m:t>
              </m:r>
            </m:sub>
          </m:sSub>
          <m:r>
            <m:t>.</m:t>
          </m:r>
          <m:r>
            <m:t>  </m:t>
          </m:r>
          <m:r>
            <m:t>(</m:t>
          </m:r>
          <m:r>
            <m:t>1</m:t>
          </m:r>
          <m:r>
            <m:t>)</m:t>
          </m:r>
        </m:oMath>
      </m:oMathPara>
    </w:p>
    <w:p>
      <w:pPr>
        <w:pStyle w:val="FirstParagraph"/>
      </w:pPr>
      <w:r>
        <w:t xml:space="preserve">Where</w:t>
      </w:r>
      <w:r>
        <w:t xml:space="preserve"> </w:t>
      </w:r>
      <m:oMath>
        <m:sSub>
          <m:e>
            <m:r>
              <m:t>x</m:t>
            </m:r>
          </m:e>
          <m:sub>
            <m:r>
              <m:t>i</m:t>
            </m:r>
          </m:sub>
        </m:sSub>
      </m:oMath>
      <w:r>
        <w:t xml:space="preserve"> </w:t>
      </w:r>
      <w:r>
        <w:t xml:space="preserve">is the frequency of the ith sequence in the population and</w:t>
      </w:r>
      <w:r>
        <w:t xml:space="preserve"> </w:t>
      </w:r>
      <m:oMath>
        <m:sSub>
          <m:e>
            <m:r>
              <m:t>π</m:t>
            </m:r>
          </m:e>
          <m:sub>
            <m:r>
              <m:t>i</m:t>
            </m:r>
            <m:r>
              <m:t>j</m:t>
            </m:r>
          </m:sub>
        </m:sSub>
      </m:oMath>
      <w:r>
        <w:t xml:space="preserve"> </w:t>
      </w:r>
      <w:r>
        <w:t xml:space="preserve">is the number of sites that are different between the</w:t>
      </w:r>
      <w:r>
        <w:t xml:space="preserve"> </w:t>
      </w:r>
      <m:oMath>
        <m:r>
          <m:t>i</m:t>
        </m:r>
      </m:oMath>
      <w:r>
        <w:t xml:space="preserve">th and</w:t>
      </w:r>
      <w:r>
        <w:t xml:space="preserve"> </w:t>
      </w:r>
      <m:oMath>
        <m:r>
          <m:t>j</m:t>
        </m:r>
      </m:oMath>
      <w:r>
        <w:t xml:space="preserve">th sequence divided by sequence length.</w:t>
      </w:r>
    </w:p>
    <w:p>
      <w:pPr>
        <w:pStyle w:val="BodyText"/>
      </w:pPr>
      <w:r>
        <w:t xml:space="preserve">A more general form, that treats each sequence in the population as unique can be written as:</w:t>
      </w:r>
    </w:p>
    <w:p>
      <w:pPr>
        <w:pStyle w:val="BodyText"/>
      </w:pPr>
      <m:oMathPara>
        <m:oMathParaPr>
          <m:jc m:val="center"/>
        </m:oMathParaPr>
        <m:oMath>
          <m:r>
            <m:t>π</m:t>
          </m:r>
          <m:r>
            <m:t>=</m:t>
          </m:r>
          <m:f>
            <m:fPr>
              <m:type m:val="bar"/>
            </m:fPr>
            <m:num>
              <m:r>
                <m:t>1</m:t>
              </m:r>
            </m:num>
            <m:den>
              <m:r>
                <m:t>L</m:t>
              </m:r>
              <m:r>
                <m:t>*</m:t>
              </m:r>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nary>
                    <m:naryPr>
                      <m:chr m:val="∑"/>
                      <m:limLoc m:val="undOvr"/>
                      <m:subHide m:val="0"/>
                      <m:supHide m:val="0"/>
                    </m:naryPr>
                    <m:sub>
                      <m:r>
                        <m:t>k</m:t>
                      </m:r>
                      <m:r>
                        <m:t>=</m:t>
                      </m:r>
                      <m:r>
                        <m:t>1</m:t>
                      </m:r>
                    </m:sub>
                    <m:sup>
                      <m:r>
                        <m:t>L</m:t>
                      </m:r>
                    </m:sup>
                    <m:e>
                      <m:sSub>
                        <m:e>
                          <m:r>
                            <m:t>π</m:t>
                          </m:r>
                        </m:e>
                        <m:sub>
                          <m:r>
                            <m:t>i</m:t>
                          </m:r>
                          <m:r>
                            <m:t>j</m:t>
                          </m:r>
                          <m:r>
                            <m:t>k</m:t>
                          </m:r>
                        </m:sub>
                      </m:sSub>
                    </m:e>
                  </m:nary>
                </m:e>
              </m:nary>
            </m:e>
          </m:nary>
          <m:r>
            <m:t>  </m:t>
          </m:r>
          <m:sSub>
            <m:e>
              <m:r>
                <m:t>π</m:t>
              </m:r>
            </m:e>
            <m:sub>
              <m:r>
                <m:t>i</m:t>
              </m:r>
              <m:r>
                <m:t>j</m:t>
              </m:r>
              <m:r>
                <m:t>k</m:t>
              </m:r>
            </m:sub>
          </m:sSub>
          <m:r>
            <m:t>=</m:t>
          </m:r>
          <m:d>
            <m:dPr>
              <m:begChr m:val="{"/>
              <m:endChr m:val=""/>
              <m:grow/>
            </m:dPr>
            <m:e>
              <m:m>
                <m:mPr>
                  <m:baseJc m:val="center"/>
                  <m:plcHide m:val="1"/>
                  <m:mcs>
                    <m:mc>
                      <m:mcPr>
                        <m:mcJc m:val="left"/>
                        <m:count m:val="1"/>
                      </m:mcPr>
                    </m:mc>
                  </m:mcs>
                </m:mPr>
                <m:mr>
                  <m:e>
                    <m:r>
                      <m:t>1</m:t>
                    </m:r>
                    <m:r>
                      <m:t> </m:t>
                    </m:r>
                    <m:r>
                      <m:rPr>
                        <m:nor/>
                        <m:sty m:val="p"/>
                      </m:rPr>
                      <m:t>if</m:t>
                    </m:r>
                    <m:r>
                      <m:t> </m:t>
                    </m:r>
                    <m:sSub>
                      <m:e>
                        <m:r>
                          <m:t>N</m:t>
                        </m:r>
                      </m:e>
                      <m:sub>
                        <m:r>
                          <m:t>i</m:t>
                        </m:r>
                        <m:r>
                          <m:t>k</m:t>
                        </m:r>
                      </m:sub>
                    </m:sSub>
                    <m:r>
                      <m:t>≠</m:t>
                    </m:r>
                    <m:sSub>
                      <m:e>
                        <m:r>
                          <m:t>N</m:t>
                        </m:r>
                      </m:e>
                      <m:sub>
                        <m:r>
                          <m:t>j</m:t>
                        </m:r>
                        <m:r>
                          <m:t>k</m:t>
                        </m:r>
                      </m:sub>
                    </m:sSub>
                  </m:e>
                </m:mr>
                <m:mr>
                  <m:e>
                    <m:r>
                      <m:t>0</m:t>
                    </m:r>
                    <m:r>
                      <m:t> </m:t>
                    </m:r>
                    <m:r>
                      <m:rPr>
                        <m:nor/>
                        <m:sty m:val="p"/>
                      </m:rPr>
                      <m:t>if</m:t>
                    </m:r>
                    <m:r>
                      <m:t> </m:t>
                    </m:r>
                    <m:sSub>
                      <m:e>
                        <m:r>
                          <m:t>N</m:t>
                        </m:r>
                      </m:e>
                      <m:sub>
                        <m:r>
                          <m:t>i</m:t>
                        </m:r>
                        <m:r>
                          <m:t>k</m:t>
                        </m:r>
                      </m:sub>
                    </m:sSub>
                    <m:r>
                      <m:t>=</m:t>
                    </m:r>
                    <m:sSub>
                      <m:e>
                        <m:r>
                          <m:t>N</m:t>
                        </m:r>
                      </m:e>
                      <m:sub>
                        <m:r>
                          <m:t>j</m:t>
                        </m:r>
                        <m:r>
                          <m:t>k</m:t>
                        </m:r>
                      </m:sub>
                    </m:sSub>
                  </m:e>
                </m:mr>
              </m:m>
            </m:e>
          </m:d>
          <m:r>
            <m:t>  </m:t>
          </m:r>
          <m:r>
            <m:t>(</m:t>
          </m:r>
          <m:r>
            <m:t>2</m:t>
          </m:r>
          <m:r>
            <m:t>)</m:t>
          </m:r>
        </m:oMath>
      </m:oMathPara>
    </w:p>
    <w:p>
      <w:pPr>
        <w:pStyle w:val="FirstParagraph"/>
      </w:pPr>
      <w:r>
        <w:t xml:space="preserve">where</w:t>
      </w:r>
      <w:r>
        <w:t xml:space="preserve"> </w:t>
      </w:r>
      <m:oMath>
        <m:sSub>
          <m:e>
            <m:r>
              <m:t>N</m:t>
            </m:r>
          </m:e>
          <m:sub>
            <m:r>
              <m:t>i</m:t>
            </m:r>
            <m:r>
              <m:t>k</m:t>
            </m:r>
          </m:sub>
        </m:sSub>
      </m:oMath>
      <w:r>
        <w:t xml:space="preserve"> </w:t>
      </w:r>
      <w:r>
        <w:t xml:space="preserve">is the nucleotide (A, T, C or G) at position</w:t>
      </w:r>
      <w:r>
        <w:t xml:space="preserve"> </w:t>
      </w:r>
      <m:oMath>
        <m:r>
          <m:t>k</m:t>
        </m:r>
      </m:oMath>
      <w:r>
        <w:t xml:space="preserve"> </w:t>
      </w:r>
      <w:r>
        <w:t xml:space="preserve">on the</w:t>
      </w:r>
      <w:r>
        <w:t xml:space="preserve"> </w:t>
      </w:r>
      <w:r>
        <w:rPr>
          <w:i/>
        </w:rPr>
        <w:t xml:space="preserve">i</w:t>
      </w:r>
      <w:r>
        <w:t xml:space="preserve">th sequence of the population.</w:t>
      </w:r>
      <w:r>
        <w:t xml:space="preserve"> </w:t>
      </w:r>
      <m:oMath>
        <m:r>
          <m:t>L</m:t>
        </m:r>
      </m:oMath>
      <w:r>
        <w:t xml:space="preserve"> </w:t>
      </w:r>
      <w:r>
        <w:t xml:space="preserve">is the length of the sequence. Indels are excluded from the diversity calculation leading to a single</w:t>
      </w:r>
      <w:r>
        <w:t xml:space="preserve"> </w:t>
      </w:r>
      <m:oMath>
        <m:r>
          <m:t>L</m:t>
        </m:r>
      </m:oMath>
      <w:r>
        <w:t xml:space="preserve"> </w:t>
      </w:r>
      <w:r>
        <w:t xml:space="preserve">for the population.</w:t>
      </w:r>
      <w:r>
        <w:t xml:space="preserve"> </w:t>
      </w:r>
      <m:oMath>
        <m:r>
          <m:t>n</m:t>
        </m:r>
      </m:oMath>
      <w:r>
        <w:t xml:space="preserve"> </w:t>
      </w:r>
      <w:r>
        <w:t xml:space="preserve">is the total number of sequences in the population.</w:t>
      </w:r>
    </w:p>
    <w:p>
      <w:pPr>
        <w:pStyle w:val="BodyText"/>
      </w:pPr>
      <w:r>
        <w:t xml:space="preserve">From this form we can re-arrange summations to the form below:</w:t>
      </w:r>
    </w:p>
    <w:p>
      <w:pPr>
        <w:pStyle w:val="BodyText"/>
      </w:pPr>
      <m:oMathPara>
        <m:oMathParaPr>
          <m:jc m:val="center"/>
        </m:oMathParaPr>
        <m:oMath>
          <m:r>
            <m:t>π</m:t>
          </m:r>
          <m:r>
            <m:t>=</m:t>
          </m:r>
          <m:f>
            <m:fPr>
              <m:type m:val="bar"/>
            </m:fPr>
            <m:num>
              <m:r>
                <m:t>1</m:t>
              </m:r>
            </m:num>
            <m:den>
              <m:r>
                <m:t>L</m:t>
              </m:r>
            </m:den>
          </m:f>
          <m:nary>
            <m:naryPr>
              <m:chr m:val="∑"/>
              <m:limLoc m:val="undOvr"/>
              <m:subHide m:val="0"/>
              <m:supHide m:val="0"/>
            </m:naryPr>
            <m:sub>
              <m:r>
                <m:t>k</m:t>
              </m:r>
              <m:r>
                <m:t>=</m:t>
              </m:r>
              <m:r>
                <m:t>1</m:t>
              </m:r>
            </m:sub>
            <m:sup>
              <m:r>
                <m:t>L</m:t>
              </m:r>
            </m:sup>
            <m:e>
              <m:sSub>
                <m:e>
                  <m:r>
                    <m:t>π</m:t>
                  </m:r>
                </m:e>
                <m:sub>
                  <m:r>
                    <m:t>k</m:t>
                  </m:r>
                </m:sub>
              </m:sSub>
            </m:e>
          </m:nary>
          <m:r>
            <m:t>  </m:t>
          </m:r>
          <m:sSub>
            <m:e>
              <m:r>
                <m:t>π</m:t>
              </m:r>
            </m:e>
            <m:sub>
              <m:r>
                <m:t>k</m:t>
              </m:r>
            </m:sub>
          </m:sSub>
          <m:r>
            <m:t>=</m:t>
          </m:r>
          <m:f>
            <m:fPr>
              <m:type m:val="bar"/>
            </m:fPr>
            <m:num>
              <m:r>
                <m:t>1</m:t>
              </m:r>
            </m:num>
            <m:den>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π</m:t>
                      </m:r>
                    </m:e>
                    <m:sub>
                      <m:r>
                        <m:t>i</m:t>
                      </m:r>
                      <m:r>
                        <m:t>j</m:t>
                      </m:r>
                      <m:r>
                        <m:t>k</m:t>
                      </m:r>
                    </m:sub>
                  </m:sSub>
                </m:e>
              </m:nary>
            </m:e>
          </m:nary>
          <m:r>
            <m:t>  </m:t>
          </m:r>
          <m:r>
            <m:t>(</m:t>
          </m:r>
          <m:r>
            <m:t>3</m:t>
          </m:r>
          <m:r>
            <m:t>)</m:t>
          </m:r>
        </m:oMath>
      </m:oMathPara>
    </w:p>
    <w:p>
      <w:pPr>
        <w:pStyle w:val="FirstParagraph"/>
      </w:pPr>
      <w:r>
        <w:t xml:space="preserve">where</w:t>
      </w:r>
      <w:r>
        <w:t xml:space="preserve"> </w:t>
      </w:r>
      <m:oMath>
        <m:sSub>
          <m:e>
            <m:r>
              <m:t>π</m:t>
            </m:r>
          </m:e>
          <m:sub>
            <m:r>
              <m:t>k</m:t>
            </m:r>
          </m:sub>
        </m:sSub>
      </m:oMath>
      <w:r>
        <w:t xml:space="preserve"> </w:t>
      </w:r>
      <w:r>
        <w:t xml:space="preserve">can be thought of as the site-wise nucleotide diversity at position</w:t>
      </w:r>
      <w:r>
        <w:t xml:space="preserve"> </w:t>
      </w:r>
      <m:oMath>
        <m:r>
          <m:t>k</m:t>
        </m:r>
      </m:oMath>
      <w:r>
        <w:t xml:space="preserve">, and is equal to</w:t>
      </w:r>
      <w:r>
        <w:t xml:space="preserve"> </w:t>
      </w:r>
      <w:r>
        <w:t xml:space="preserve">the nucleotide diversity of a sequence of length 1 at location</w:t>
      </w:r>
      <w:r>
        <w:t xml:space="preserve"> </w:t>
      </w:r>
      <m:oMath>
        <m:r>
          <m:t>k</m:t>
        </m:r>
      </m:oMath>
      <w:r>
        <w:t xml:space="preserve">. We can calculate</w:t>
      </w:r>
      <w:r>
        <w:t xml:space="preserve"> </w:t>
      </w:r>
      <m:oMath>
        <m:sSub>
          <m:e>
            <m:r>
              <m:t>π</m:t>
            </m:r>
          </m:e>
          <m:sub>
            <m:r>
              <m:t>k</m:t>
            </m:r>
          </m:sub>
        </m:sSub>
      </m:oMath>
      <w:r>
        <w:t xml:space="preserve"> </w:t>
      </w:r>
      <w:r>
        <w:t xml:space="preserve">for each</w:t>
      </w:r>
      <w:r>
        <w:t xml:space="preserve"> </w:t>
      </w:r>
      <w:r>
        <w:t xml:space="preserve">site, then average those over the sequence length to calculate</w:t>
      </w:r>
      <w:r>
        <w:t xml:space="preserve"> </w:t>
      </w:r>
      <m:oMath>
        <m:r>
          <m:t>π</m:t>
        </m:r>
      </m:oMath>
      <w:r>
        <w:t xml:space="preserve">, the nucleotide diversity</w:t>
      </w:r>
      <w:r>
        <w:t xml:space="preserve"> </w:t>
      </w:r>
      <w:r>
        <w:t xml:space="preserve">of the sequence.</w:t>
      </w:r>
    </w:p>
    <w:p>
      <w:pPr>
        <w:pStyle w:val="BodyText"/>
      </w:pPr>
      <w:r>
        <w:t xml:space="preserve">The function</w:t>
      </w:r>
      <w:r>
        <w:t xml:space="preserve"> </w:t>
      </w:r>
      <w:r>
        <w:rPr>
          <w:rStyle w:val="VerbatimChar"/>
        </w:rPr>
        <w:t xml:space="preserve">Nucleotide_diversity</w:t>
      </w:r>
      <w:r>
        <w:t xml:space="preserve"> </w:t>
      </w:r>
      <w:r>
        <w:t xml:space="preserve">in the r1001genomes package calculates</w:t>
      </w:r>
      <w:r>
        <w:t xml:space="preserve"> </w:t>
      </w:r>
      <m:oMath>
        <m:sSub>
          <m:e>
            <m:r>
              <m:t>π</m:t>
            </m:r>
          </m:e>
          <m:sub>
            <m:r>
              <m:t>k</m:t>
            </m:r>
          </m:sub>
        </m:sSub>
      </m:oMath>
      <w:r>
        <w:t xml:space="preserve"> </w:t>
      </w:r>
      <w:r>
        <w:t xml:space="preserve">for each position in the gene or region that contains a variant. Note,</w:t>
      </w:r>
      <w:r>
        <w:t xml:space="preserve"> </w:t>
      </w:r>
      <m:oMath>
        <m:sSub>
          <m:e>
            <m:r>
              <m:t>π</m:t>
            </m:r>
          </m:e>
          <m:sub>
            <m:r>
              <m:t>k</m:t>
            </m:r>
          </m:sub>
        </m:sSub>
      </m:oMath>
      <w:r>
        <w:t xml:space="preserve"> </w:t>
      </w:r>
      <w:r>
        <w:t xml:space="preserve">is equal to 0 at all locations without variants.</w:t>
      </w:r>
      <w:r>
        <w:t xml:space="preserve"> </w:t>
      </w:r>
      <w:r>
        <w:t xml:space="preserve">This is also what is displayed in the Diversity Plot tab of the webtool.</w:t>
      </w:r>
    </w:p>
    <w:p>
      <w:pPr>
        <w:pStyle w:val="Heading2"/>
      </w:pPr>
      <w:bookmarkStart w:id="57" w:name="X36ff245d6a7908bb37e52601067b315c2a9c229"/>
      <w:r>
        <w:t xml:space="preserve">Detailed</w:t>
      </w:r>
      <w:r>
        <w:t xml:space="preserve"> </w:t>
      </w:r>
      <m:oMath>
        <m:sSub>
          <m:e>
            <m:r>
              <m:t>π</m:t>
            </m:r>
          </m:e>
          <m:sub>
            <m:r>
              <m:t>k</m:t>
            </m:r>
          </m:sub>
        </m:sSub>
      </m:oMath>
      <w:r>
        <w:t xml:space="preserve"> </w:t>
      </w:r>
      <w:r>
        <w:t xml:space="preserve">calculation simplification.</w:t>
      </w:r>
      <w:bookmarkEnd w:id="57"/>
    </w:p>
    <w:p>
      <w:pPr>
        <w:pStyle w:val="FirstParagraph"/>
      </w:pPr>
      <w:r>
        <w:t xml:space="preserve">The formula for</w:t>
      </w:r>
      <w:r>
        <w:t xml:space="preserve"> </w:t>
      </w:r>
      <m:oMath>
        <m:sSub>
          <m:e>
            <m:r>
              <m:t>π</m:t>
            </m:r>
          </m:e>
          <m:sub>
            <m:r>
              <m:t>k</m:t>
            </m:r>
          </m:sub>
        </m:sSub>
      </m:oMath>
      <w:r>
        <w:t xml:space="preserve"> </w:t>
      </w:r>
      <w:r>
        <w:t xml:space="preserve">above requires comparing every sequence to every other sequence at location k,</w:t>
      </w:r>
      <w:r>
        <w:t xml:space="preserve"> </w:t>
      </w:r>
      <w:r>
        <w:t xml:space="preserve">however, we know there are only a few variant forms at each individual location.</w:t>
      </w:r>
    </w:p>
    <w:p>
      <w:pPr>
        <w:pStyle w:val="BodyText"/>
      </w:pPr>
      <w:r>
        <w:t xml:space="preserve">So, we can revert back to using Nei and Li’s original formula (1), modifying it slightly,</w:t>
      </w:r>
      <w:r>
        <w:t xml:space="preserve"> </w:t>
      </w:r>
      <w:r>
        <w:t xml:space="preserve">replacing</w:t>
      </w:r>
      <w:r>
        <w:t xml:space="preserve"> </w:t>
      </w:r>
      <m:oMath>
        <m:sSub>
          <m:e>
            <m:r>
              <m:t>x</m:t>
            </m:r>
          </m:e>
          <m:sub>
            <m:r>
              <m:t>i</m:t>
            </m:r>
          </m:sub>
        </m:sSub>
      </m:oMath>
      <w:r>
        <w:t xml:space="preserve"> </w:t>
      </w:r>
      <w:r>
        <w:t xml:space="preserve">with</w:t>
      </w:r>
      <w:r>
        <w:t xml:space="preserve"> </w:t>
      </w:r>
      <m:oMath>
        <m:f>
          <m:fPr>
            <m:type m:val="bar"/>
          </m:fPr>
          <m:num>
            <m:sSub>
              <m:e>
                <m:r>
                  <m:t>n</m:t>
                </m:r>
              </m:e>
              <m:sub>
                <m:r>
                  <m:t>i</m:t>
                </m:r>
              </m:sub>
            </m:sSub>
          </m:num>
          <m:den>
            <m:r>
              <m:t>n</m:t>
            </m:r>
          </m:den>
        </m:f>
      </m:oMath>
      <w:r>
        <w:t xml:space="preserve">,</w:t>
      </w:r>
      <w:r>
        <w:t xml:space="preserve"> </w:t>
      </w:r>
      <m:oMath>
        <m:sSub>
          <m:e>
            <m:r>
              <m:t>n</m:t>
            </m:r>
          </m:e>
          <m:sub>
            <m:r>
              <m:t>i</m:t>
            </m:r>
          </m:sub>
        </m:sSub>
      </m:oMath>
      <w:r>
        <w:t xml:space="preserve"> </w:t>
      </w:r>
      <w:r>
        <w:t xml:space="preserve">being the number of sequences in the population with nucleotide</w:t>
      </w:r>
      <w:r>
        <w:t xml:space="preserve"> </w:t>
      </w:r>
      <m:oMath>
        <m:sSub>
          <m:e>
            <m:r>
              <m:t>N</m:t>
            </m:r>
          </m:e>
          <m:sub>
            <m:r>
              <m:t>i</m:t>
            </m:r>
          </m:sub>
        </m:sSub>
      </m:oMath>
      <w:r>
        <w:t xml:space="preserve"> </w:t>
      </w:r>
      <w:r>
        <w:t xml:space="preserve">at location</w:t>
      </w:r>
      <w:r>
        <w:t xml:space="preserve"> </w:t>
      </w:r>
      <m:oMath>
        <m:r>
          <m:t>k</m:t>
        </m:r>
      </m:oMath>
      <w:r>
        <w:t xml:space="preserve">:</w:t>
      </w:r>
    </w:p>
    <w:p>
      <w:pPr>
        <w:pStyle w:val="BodyText"/>
      </w:pPr>
      <m:oMathPara>
        <m:oMathParaPr>
          <m:jc m:val="center"/>
        </m:oMathParaPr>
        <m:oMath>
          <m:sSub>
            <m:e>
              <m:r>
                <m:t>π</m:t>
              </m:r>
            </m:e>
            <m:sub>
              <m:r>
                <m:t>k</m:t>
              </m:r>
            </m:sub>
          </m:sSub>
          <m:r>
            <m:t>=</m:t>
          </m:r>
          <m:nary>
            <m:naryPr>
              <m:chr m:val="∑"/>
              <m:limLoc m:val="undOvr"/>
              <m:subHide m:val="0"/>
              <m:supHide m:val="1"/>
            </m:naryPr>
            <m:sub>
              <m:r>
                <m:t>i</m:t>
              </m:r>
              <m:r>
                <m:t>j</m:t>
              </m:r>
            </m:sub>
            <m:sup>
              <m:r>
                <m:t>​</m:t>
              </m:r>
            </m:sup>
            <m:e>
              <m:f>
                <m:fPr>
                  <m:type m:val="bar"/>
                </m:fPr>
                <m:num>
                  <m:sSub>
                    <m:e>
                      <m:r>
                        <m:t>n</m:t>
                      </m:r>
                    </m:e>
                    <m:sub>
                      <m:r>
                        <m:t>i</m:t>
                      </m:r>
                    </m:sub>
                  </m:sSub>
                </m:num>
                <m:den>
                  <m:r>
                    <m:t>n</m:t>
                  </m:r>
                </m:den>
              </m:f>
            </m:e>
          </m:nary>
          <m:f>
            <m:fPr>
              <m:type m:val="bar"/>
            </m:fPr>
            <m:num>
              <m:sSub>
                <m:e>
                  <m:r>
                    <m:t>n</m:t>
                  </m:r>
                </m:e>
                <m:sub>
                  <m:r>
                    <m:t>j</m:t>
                  </m:r>
                </m:sub>
              </m:sSub>
            </m:num>
            <m:den>
              <m:r>
                <m:t>n</m:t>
              </m:r>
            </m:den>
          </m:f>
          <m:sSub>
            <m:e>
              <m:r>
                <m:t>π</m:t>
              </m:r>
            </m:e>
            <m:sub>
              <m:r>
                <m:t>i</m:t>
              </m:r>
              <m:r>
                <m:t>j</m:t>
              </m:r>
            </m:sub>
          </m:sSub>
          <m:r>
            <m:t>=</m:t>
          </m:r>
          <m:f>
            <m:fPr>
              <m:type m:val="bar"/>
            </m:fPr>
            <m:num>
              <m:r>
                <m:t>1</m:t>
              </m:r>
            </m:num>
            <m:den>
              <m:sSup>
                <m:e>
                  <m:r>
                    <m:t>n</m:t>
                  </m:r>
                </m:e>
                <m:sup>
                  <m:r>
                    <m:t>2</m:t>
                  </m:r>
                </m:sup>
              </m:sSup>
            </m:den>
          </m:f>
          <m:nary>
            <m:naryPr>
              <m:chr m:val="∑"/>
              <m:limLoc m:val="undOvr"/>
              <m:subHide m:val="0"/>
              <m:supHide m:val="1"/>
            </m:naryPr>
            <m:sub>
              <m:r>
                <m:t>i</m:t>
              </m:r>
              <m:r>
                <m:t>j</m:t>
              </m:r>
            </m:sub>
            <m:sup>
              <m:r>
                <m:t>​</m:t>
              </m:r>
            </m:sup>
            <m:e>
              <m:sSub>
                <m:e>
                  <m:r>
                    <m:t>n</m:t>
                  </m:r>
                </m:e>
                <m:sub>
                  <m:r>
                    <m:t>i</m:t>
                  </m:r>
                </m:sub>
              </m:sSub>
            </m:e>
          </m:nary>
          <m:sSub>
            <m:e>
              <m:r>
                <m:t>n</m:t>
              </m:r>
            </m:e>
            <m:sub>
              <m:r>
                <m:t>j</m:t>
              </m:r>
            </m:sub>
          </m:sSub>
          <m:sSub>
            <m:e>
              <m:r>
                <m:t>π</m:t>
              </m:r>
            </m:e>
            <m:sub>
              <m:r>
                <m:t>i</m:t>
              </m:r>
              <m:r>
                <m:t>j</m:t>
              </m:r>
            </m:sub>
          </m:sSub>
          <m:r>
            <m:t>  </m:t>
          </m:r>
          <m:sSub>
            <m:e>
              <m:r>
                <m:t>π</m:t>
              </m:r>
            </m:e>
            <m:sub>
              <m:r>
                <m:t>i</m:t>
              </m:r>
              <m:r>
                <m:t>j</m:t>
              </m:r>
              <m:r>
                <m:t>(</m:t>
              </m:r>
              <m:r>
                <m:t>k</m:t>
              </m:r>
              <m:r>
                <m:t>)</m:t>
              </m:r>
            </m:sub>
          </m:sSub>
          <m:r>
            <m:t>=</m:t>
          </m:r>
          <m:d>
            <m:dPr>
              <m:begChr m:val="{"/>
              <m:endChr m:val=""/>
              <m:grow/>
            </m:dPr>
            <m:e>
              <m:m>
                <m:mPr>
                  <m:baseJc m:val="center"/>
                  <m:plcHide m:val="1"/>
                  <m:mcs>
                    <m:mc>
                      <m:mcPr>
                        <m:mcJc m:val="left"/>
                        <m:count m:val="1"/>
                      </m:mcPr>
                    </m:mc>
                  </m:mcs>
                </m:mPr>
                <m:mr>
                  <m:e>
                    <m:r>
                      <m:t>1</m:t>
                    </m:r>
                    <m:r>
                      <m:t> </m:t>
                    </m:r>
                    <m:r>
                      <m:rPr>
                        <m:nor/>
                        <m:sty m:val="p"/>
                      </m:rPr>
                      <m:t>if</m:t>
                    </m:r>
                    <m:r>
                      <m:t> </m:t>
                    </m:r>
                    <m:r>
                      <m:t>i</m:t>
                    </m:r>
                    <m:r>
                      <m:t>≠</m:t>
                    </m:r>
                    <m:r>
                      <m:t>j</m:t>
                    </m:r>
                  </m:e>
                </m:mr>
                <m:mr>
                  <m:e>
                    <m:r>
                      <m:t>0</m:t>
                    </m:r>
                    <m:r>
                      <m:t> </m:t>
                    </m:r>
                    <m:r>
                      <m:rPr>
                        <m:nor/>
                        <m:sty m:val="p"/>
                      </m:rPr>
                      <m:t>if</m:t>
                    </m:r>
                    <m:r>
                      <m:t> </m:t>
                    </m:r>
                    <m:r>
                      <m:t>i</m:t>
                    </m:r>
                    <m:r>
                      <m:t>=</m:t>
                    </m:r>
                    <m:r>
                      <m:t>j</m:t>
                    </m:r>
                  </m:e>
                </m:mr>
              </m:m>
            </m:e>
          </m:d>
          <m:r>
            <m:t>  </m:t>
          </m:r>
          <m:r>
            <m:t>(</m:t>
          </m:r>
          <m:r>
            <m:t>4</m:t>
          </m:r>
          <m:r>
            <m:t>)</m:t>
          </m:r>
        </m:oMath>
      </m:oMathPara>
    </w:p>
    <w:p>
      <w:pPr>
        <w:pStyle w:val="FirstParagraph"/>
      </w:pPr>
      <w:r>
        <w:t xml:space="preserve">Note that in equation (1) subscripts</w:t>
      </w:r>
      <w:r>
        <w:t xml:space="preserve"> </w:t>
      </w:r>
      <m:oMath>
        <m:r>
          <m:t>i</m:t>
        </m:r>
      </m:oMath>
      <w:r>
        <w:t xml:space="preserve"> </w:t>
      </w:r>
      <w:r>
        <w:t xml:space="preserve">and</w:t>
      </w:r>
      <w:r>
        <w:t xml:space="preserve"> </w:t>
      </w:r>
      <m:oMath>
        <m:r>
          <m:t>j</m:t>
        </m:r>
      </m:oMath>
      <w:r>
        <w:t xml:space="preserve"> </w:t>
      </w:r>
      <w:r>
        <w:t xml:space="preserve">are summed over all sequences in the population, however in equation (4)</w:t>
      </w:r>
      <w:r>
        <w:t xml:space="preserve"> </w:t>
      </w:r>
      <m:oMath>
        <m:r>
          <m:t>i</m:t>
        </m:r>
      </m:oMath>
      <w:r>
        <w:t xml:space="preserve"> </w:t>
      </w:r>
      <w:r>
        <w:t xml:space="preserve">and</w:t>
      </w:r>
      <w:r>
        <w:t xml:space="preserve"> </w:t>
      </w:r>
      <m:oMath>
        <m:r>
          <m:t>j</m:t>
        </m:r>
      </m:oMath>
      <w:r>
        <w:t xml:space="preserve"> </w:t>
      </w:r>
      <w:r>
        <w:t xml:space="preserve">are only summed over unique variants at a particular location k.</w:t>
      </w:r>
    </w:p>
    <w:p>
      <w:pPr>
        <w:pStyle w:val="BodyText"/>
      </w:pPr>
      <w:r>
        <w:t xml:space="preserve">We will define</w:t>
      </w:r>
      <w:r>
        <w:t xml:space="preserve"> </w:t>
      </w:r>
      <m:oMath>
        <m:sSub>
          <m:e>
            <m:r>
              <m:t>n</m:t>
            </m:r>
          </m:e>
          <m:sub>
            <m:r>
              <m:t>!</m:t>
            </m:r>
            <m:r>
              <m:t>i</m:t>
            </m:r>
          </m:sub>
        </m:sSub>
        <m:r>
          <m:t>=</m:t>
        </m:r>
        <m:r>
          <m:t>n</m:t>
        </m:r>
        <m:r>
          <m:t>−</m:t>
        </m:r>
        <m:sSub>
          <m:e>
            <m:r>
              <m:t>n</m:t>
            </m:r>
          </m:e>
          <m:sub>
            <m:r>
              <m:t>i</m:t>
            </m:r>
          </m:sub>
        </m:sSub>
      </m:oMath>
      <w:r>
        <w:t xml:space="preserve"> </w:t>
      </w:r>
      <w:r>
        <w:t xml:space="preserve">as the number of sequences different from</w:t>
      </w:r>
      <w:r>
        <w:t xml:space="preserve"> </w:t>
      </w:r>
      <m:oMath>
        <m:r>
          <m:t>i</m:t>
        </m:r>
      </m:oMath>
      <w:r>
        <w:t xml:space="preserve"> </w:t>
      </w:r>
      <w:r>
        <w:t xml:space="preserve">at position</w:t>
      </w:r>
      <w:r>
        <w:t xml:space="preserve"> </w:t>
      </w:r>
      <m:oMath>
        <m:r>
          <m:t>k</m:t>
        </m:r>
      </m:oMath>
      <w:r>
        <w:t xml:space="preserve">. We can also see that the summed term will be zero if</w:t>
      </w:r>
      <w:r>
        <w:t xml:space="preserve"> </w:t>
      </w:r>
      <m:oMath>
        <m:r>
          <m:t>i</m:t>
        </m:r>
        <m:r>
          <m:t>=</m:t>
        </m:r>
        <m:r>
          <m:t>j</m:t>
        </m:r>
      </m:oMath>
      <w:r>
        <w:t xml:space="preserve">, and</w:t>
      </w:r>
      <w:r>
        <w:t xml:space="preserve"> </w:t>
      </w:r>
      <m:oMath>
        <m:sSub>
          <m:e>
            <m:r>
              <m:t>n</m:t>
            </m:r>
          </m:e>
          <m:sub>
            <m:r>
              <m:t>i</m:t>
            </m:r>
          </m:sub>
        </m:sSub>
        <m:sSub>
          <m:e>
            <m:r>
              <m:t>n</m:t>
            </m:r>
          </m:e>
          <m:sub>
            <m:r>
              <m:t>j</m:t>
            </m:r>
          </m:sub>
        </m:sSub>
      </m:oMath>
      <w:r>
        <w:t xml:space="preserve"> </w:t>
      </w:r>
      <w:r>
        <w:t xml:space="preserve">if</w:t>
      </w:r>
      <w:r>
        <w:t xml:space="preserve"> </w:t>
      </w:r>
      <m:oMath>
        <m:r>
          <m:t>i</m:t>
        </m:r>
        <m:r>
          <m:t>≠</m:t>
        </m:r>
        <m:r>
          <m:t>j</m:t>
        </m:r>
      </m:oMath>
      <w:r>
        <w:t xml:space="preserve">. Therefore: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sSub>
            <m:e>
              <m:r>
                <m:t>n</m:t>
              </m:r>
            </m:e>
            <m:sub>
              <m:r>
                <m:t>!</m:t>
              </m:r>
              <m:r>
                <m:t>i</m:t>
              </m:r>
            </m:sub>
          </m:sSub>
          <m:r>
            <m:t>  </m:t>
          </m:r>
          <m:r>
            <m:t>(</m:t>
          </m:r>
          <m:r>
            <m:t>5</m:t>
          </m:r>
          <m:r>
            <m:t>)</m:t>
          </m:r>
        </m:oMath>
      </m:oMathPara>
    </w:p>
    <w:p>
      <w:pPr>
        <w:pStyle w:val="FirstParagraph"/>
      </w:pPr>
      <w:r>
        <w:t xml:space="preserve">Next we substitute our definition of</w:t>
      </w:r>
      <w:r>
        <w:t xml:space="preserve"> </w:t>
      </w:r>
      <m:oMath>
        <m:sSub>
          <m:e>
            <m:r>
              <m:t>n</m:t>
            </m:r>
          </m:e>
          <m:sub>
            <m:r>
              <m:t>!</m:t>
            </m:r>
            <m:r>
              <m:t>i</m:t>
            </m:r>
          </m:sub>
        </m:sSub>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r>
            <m:t>(</m:t>
          </m:r>
          <m:r>
            <m:t>n</m:t>
          </m:r>
          <m:r>
            <m:t>−</m:t>
          </m:r>
          <m:sSub>
            <m:e>
              <m:r>
                <m:t>n</m:t>
              </m:r>
            </m:e>
            <m:sub>
              <m:r>
                <m:t>i</m:t>
              </m:r>
            </m:sub>
          </m:sSub>
          <m:r>
            <m:t>)</m:t>
          </m:r>
          <m:r>
            <m:t>  </m:t>
          </m:r>
          <m:r>
            <m:t>(</m:t>
          </m:r>
          <m:r>
            <m:t>6</m:t>
          </m:r>
          <m:r>
            <m:t>)</m:t>
          </m:r>
        </m:oMath>
      </m:oMathPara>
    </w:p>
    <w:p>
      <w:pPr>
        <w:pStyle w:val="FirstParagraph"/>
      </w:pPr>
      <w:r>
        <w:t xml:space="preserve">Distributing and splitting summation yields:</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r>
            <m:t>n</m:t>
          </m:r>
          <m:nary>
            <m:naryPr>
              <m:chr m:val="∑"/>
              <m:limLoc m:val="undOvr"/>
              <m:subHide m:val="0"/>
              <m:supHide m:val="1"/>
            </m:naryPr>
            <m:sub>
              <m:r>
                <m:t>i</m:t>
              </m:r>
            </m:sub>
            <m:sup>
              <m:r>
                <m:t>​</m:t>
              </m:r>
            </m:sup>
            <m:e>
              <m:sSub>
                <m:e>
                  <m:r>
                    <m:t>n</m:t>
                  </m:r>
                </m:e>
                <m:sub>
                  <m:r>
                    <m:t>i</m:t>
                  </m:r>
                </m:sub>
              </m:sSub>
            </m:e>
          </m:nary>
          <m:r>
            <m:t>−</m:t>
          </m:r>
          <m:nary>
            <m:naryPr>
              <m:chr m:val="∑"/>
              <m:limLoc m:val="undOvr"/>
              <m:subHide m:val="0"/>
              <m:supHide m:val="1"/>
            </m:naryPr>
            <m:sub>
              <m:r>
                <m:t>i</m:t>
              </m:r>
            </m:sub>
            <m:sup>
              <m:r>
                <m:t>​</m:t>
              </m:r>
            </m:sup>
            <m:e>
              <m:sSubSup>
                <m:e>
                  <m:r>
                    <m:t>n</m:t>
                  </m:r>
                </m:e>
                <m:sub>
                  <m:r>
                    <m:t>i</m:t>
                  </m:r>
                </m:sub>
                <m:sup>
                  <m:r>
                    <m:t>2</m:t>
                  </m:r>
                </m:sup>
              </m:sSubSup>
            </m:e>
          </m:nary>
          <m:r>
            <m:t>)</m:t>
          </m:r>
          <m:r>
            <m:t>  </m:t>
          </m:r>
          <m:r>
            <m:t>(</m:t>
          </m:r>
          <m:r>
            <m:t>7</m:t>
          </m:r>
          <m:r>
            <m:t>)</m:t>
          </m:r>
        </m:oMath>
      </m:oMathPara>
    </w:p>
    <w:p>
      <w:pPr>
        <w:pStyle w:val="FirstParagraph"/>
      </w:pPr>
      <w:r>
        <w:t xml:space="preserve">Finally, summing</w:t>
      </w:r>
      <w:r>
        <w:t xml:space="preserve"> </w:t>
      </w:r>
      <m:oMath>
        <m:nary>
          <m:naryPr>
            <m:chr m:val="∑"/>
            <m:limLoc m:val="undOvr"/>
            <m:subHide m:val="0"/>
            <m:supHide m:val="1"/>
          </m:naryPr>
          <m:sub>
            <m:r>
              <m:t>i</m:t>
            </m:r>
          </m:sub>
          <m:sup>
            <m:r>
              <m:t>​</m:t>
            </m:r>
          </m:sup>
          <m:e>
            <m:sSub>
              <m:e>
                <m:r>
                  <m:t>n</m:t>
                </m:r>
              </m:e>
              <m:sub>
                <m:r>
                  <m:t>i</m:t>
                </m:r>
              </m:sub>
            </m:sSub>
          </m:e>
        </m:nary>
      </m:oMath>
      <w:r>
        <w:t xml:space="preserve"> </w:t>
      </w:r>
      <w:r>
        <w:t xml:space="preserve">is equal to</w:t>
      </w:r>
      <w:r>
        <w:t xml:space="preserve"> </w:t>
      </w:r>
      <m:oMath>
        <m:r>
          <m:t>n</m:t>
        </m:r>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sSup>
            <m:e>
              <m:r>
                <m:t>n</m:t>
              </m:r>
            </m:e>
            <m:sup>
              <m:r>
                <m:t>2</m:t>
              </m:r>
            </m:sup>
          </m:sSup>
          <m:r>
            <m:t>−</m:t>
          </m:r>
          <m:nary>
            <m:naryPr>
              <m:chr m:val="∑"/>
              <m:limLoc m:val="undOvr"/>
              <m:subHide m:val="0"/>
              <m:supHide m:val="1"/>
            </m:naryPr>
            <m:sub>
              <m:r>
                <m:t>i</m:t>
              </m:r>
            </m:sub>
            <m:sup>
              <m:r>
                <m:t>​</m:t>
              </m:r>
            </m:sup>
            <m:e>
              <m:sSubSup>
                <m:e>
                  <m:r>
                    <m:t>n</m:t>
                  </m:r>
                </m:e>
                <m:sub>
                  <m:r>
                    <m:t>i</m:t>
                  </m:r>
                </m:sub>
                <m:sup>
                  <m:r>
                    <m:t>2</m:t>
                  </m:r>
                </m:sup>
              </m:sSubSup>
            </m:e>
          </m:nary>
          <m:r>
            <m:t>)</m:t>
          </m:r>
          <m:r>
            <m:t>  </m:t>
          </m:r>
          <m:r>
            <m:t>(</m:t>
          </m:r>
          <m:r>
            <m:t>8</m:t>
          </m:r>
          <m:r>
            <m:t>)</m:t>
          </m:r>
        </m:oMath>
      </m:oMathPara>
    </w:p>
    <w:p>
      <w:pPr>
        <w:pStyle w:val="FirstParagraph"/>
      </w:pPr>
      <w:r>
        <w:t xml:space="preserve">This simplified form for</w:t>
      </w:r>
      <w:r>
        <w:t xml:space="preserve"> </w:t>
      </w:r>
      <m:oMath>
        <m:sSub>
          <m:e>
            <m:r>
              <m:t>π</m:t>
            </m:r>
          </m:e>
          <m:sub>
            <m:r>
              <m:t>k</m:t>
            </m:r>
          </m:sub>
        </m:sSub>
      </m:oMath>
      <w:r>
        <w:t xml:space="preserve"> </w:t>
      </w:r>
      <w:r>
        <w:t xml:space="preserve">is used by the app, because the counts of unique variants at a single nucleotide location can easily be summarized in R.</w:t>
      </w:r>
    </w:p>
    <w:p>
      <w:pPr>
        <w:pStyle w:val="Heading2"/>
      </w:pPr>
      <w:bookmarkStart w:id="58" w:name="software"/>
      <w:r>
        <w:t xml:space="preserve">Software</w:t>
      </w:r>
      <w:bookmarkEnd w:id="58"/>
    </w:p>
    <w:p>
      <w:pPr>
        <w:pStyle w:val="FirstParagraph"/>
      </w:pPr>
      <w:r>
        <w:t xml:space="preserve">The r1001genomes package has many software dependencies on other R packages, a few of the key bioinformatics packages used are listed below.</w:t>
      </w:r>
    </w:p>
    <w:p>
      <w:pPr>
        <w:pStyle w:val="BodyText"/>
      </w:pPr>
      <w:r>
        <w:rPr>
          <w:b/>
        </w:rPr>
        <w:t xml:space="preserve">biomaRt:</w:t>
      </w:r>
      <w:r>
        <w:t xml:space="preserve"> </w:t>
      </w:r>
      <w:r>
        <w:t xml:space="preserve">used for accessing the TAIR10 database on arabidopsis.org</w:t>
      </w:r>
    </w:p>
    <w:p>
      <w:pPr>
        <w:pStyle w:val="BodyText"/>
      </w:pPr>
      <w:r>
        <w:rPr>
          <w:b/>
        </w:rPr>
        <w:t xml:space="preserve">vcfR:</w:t>
      </w:r>
      <w:r>
        <w:t xml:space="preserve"> </w:t>
      </w:r>
      <w:r>
        <w:t xml:space="preserve">used to read in the VCF files in a flat</w:t>
      </w:r>
      <w:r>
        <w:t xml:space="preserve"> </w:t>
      </w:r>
      <w:r>
        <w:t xml:space="preserve">“</w:t>
      </w:r>
      <w:r>
        <w:t xml:space="preserve">tidy</w:t>
      </w:r>
      <w:r>
        <w:t xml:space="preserve">”</w:t>
      </w:r>
      <w:r>
        <w:t xml:space="preserve"> </w:t>
      </w:r>
      <w:r>
        <w:t xml:space="preserve">format for easy manipulation</w:t>
      </w:r>
    </w:p>
    <w:p>
      <w:pPr>
        <w:pStyle w:val="BodyText"/>
      </w:pPr>
      <w:r>
        <w:rPr>
          <w:b/>
        </w:rPr>
        <w:t xml:space="preserve">BSgenome:</w:t>
      </w:r>
      <w:r>
        <w:t xml:space="preserve"> </w:t>
      </w:r>
      <w:r>
        <w:t xml:space="preserve">used as the source for the complete DNA string of the reference genome (Col-0).</w:t>
      </w:r>
    </w:p>
    <w:p>
      <w:pPr>
        <w:pStyle w:val="BodyText"/>
      </w:pPr>
      <w:r>
        <w:rPr>
          <w:b/>
        </w:rPr>
        <w:t xml:space="preserve">DECIPHER:</w:t>
      </w:r>
      <w:r>
        <w:t xml:space="preserve"> </w:t>
      </w:r>
      <w:r>
        <w:t xml:space="preserve">used to align nucleotide and amino acid sequences of homologous genes</w:t>
      </w:r>
    </w:p>
    <w:p>
      <w:pPr>
        <w:pStyle w:val="BodyText"/>
      </w:pPr>
      <w:r>
        <w:rPr>
          <w:b/>
        </w:rPr>
        <w:t xml:space="preserve">GenomicFeatures:</w:t>
      </w:r>
      <w:r>
        <w:t xml:space="preserve"> </w:t>
      </w:r>
      <w:r>
        <w:t xml:space="preserve">used for handling sequence annotations.</w:t>
      </w:r>
    </w:p>
    <w:p>
      <w:pPr>
        <w:pStyle w:val="BodyText"/>
      </w:pPr>
      <w:r>
        <w:rPr>
          <w:b/>
        </w:rPr>
        <w:t xml:space="preserve">Biostrings:</w:t>
      </w:r>
      <w:r>
        <w:t xml:space="preserve"> </w:t>
      </w:r>
      <w:r>
        <w:t xml:space="preserve">provides the underlying framework for the sequence manipulations used for generating and aligning sequences with BSgenome, Decipher, and GenomicFeatures</w:t>
      </w:r>
    </w:p>
    <w:p>
      <w:pPr>
        <w:pStyle w:val="BodyText"/>
      </w:pPr>
      <w:r>
        <w:t xml:space="preserve">Other packages that were critical to building ViVa and/or writing this document include:</w:t>
      </w:r>
      <w:r>
        <w:t xml:space="preserve"> </w:t>
      </w:r>
      <w:r>
        <w:t xml:space="preserve">(Paradis et al.</w:t>
      </w:r>
      <w:r>
        <w:t xml:space="preserve"> </w:t>
      </w:r>
      <w:hyperlink w:anchor="ref-R-ape">
        <w:r>
          <w:rPr>
            <w:rStyle w:val="Hyperlink"/>
          </w:rPr>
          <w:t xml:space="preserve">2018</w:t>
        </w:r>
      </w:hyperlink>
      <w:r>
        <w:t xml:space="preserve">; R Core Team</w:t>
      </w:r>
      <w:r>
        <w:t xml:space="preserve"> </w:t>
      </w:r>
      <w:hyperlink w:anchor="ref-R-base">
        <w:r>
          <w:rPr>
            <w:rStyle w:val="Hyperlink"/>
          </w:rPr>
          <w:t xml:space="preserve">2018</w:t>
        </w:r>
      </w:hyperlink>
      <w:r>
        <w:t xml:space="preserve">; Müller</w:t>
      </w:r>
      <w:r>
        <w:t xml:space="preserve"> </w:t>
      </w:r>
      <w:hyperlink w:anchor="ref-R-bindrcpp">
        <w:r>
          <w:rPr>
            <w:rStyle w:val="Hyperlink"/>
          </w:rPr>
          <w:t xml:space="preserve">2018</w:t>
        </w:r>
      </w:hyperlink>
      <w:r>
        <w:t xml:space="preserve">; Team</w:t>
      </w:r>
      <w:r>
        <w:t xml:space="preserve"> </w:t>
      </w:r>
      <w:hyperlink w:anchor="ref-R-BiocGenerics">
        <w:r>
          <w:rPr>
            <w:rStyle w:val="Hyperlink"/>
          </w:rPr>
          <w:t xml:space="preserve">2018</w:t>
        </w:r>
      </w:hyperlink>
      <w:r>
        <w:t xml:space="preserve">; Pagès et al.</w:t>
      </w:r>
      <w:r>
        <w:t xml:space="preserve"> </w:t>
      </w:r>
      <w:hyperlink w:anchor="ref-R-Biostrings">
        <w:r>
          <w:rPr>
            <w:rStyle w:val="Hyperlink"/>
          </w:rPr>
          <w:t xml:space="preserve">2019</w:t>
        </w:r>
      </w:hyperlink>
      <w:r>
        <w:t xml:space="preserve">; Xie</w:t>
      </w:r>
      <w:r>
        <w:t xml:space="preserve"> </w:t>
      </w:r>
      <w:hyperlink w:anchor="ref-R-bookdown">
        <w:r>
          <w:rPr>
            <w:rStyle w:val="Hyperlink"/>
          </w:rPr>
          <w:t xml:space="preserve">2018</w:t>
        </w:r>
      </w:hyperlink>
      <w:hyperlink w:anchor="ref-R-bookdown">
        <w:r>
          <w:rPr>
            <w:rStyle w:val="Hyperlink"/>
          </w:rPr>
          <w:t xml:space="preserve">a</w:t>
        </w:r>
      </w:hyperlink>
      <w:r>
        <w:t xml:space="preserve">,</w:t>
      </w:r>
      <w:r>
        <w:t xml:space="preserve"> </w:t>
      </w:r>
      <w:hyperlink w:anchor="ref-R-knitr">
        <w:r>
          <w:rPr>
            <w:rStyle w:val="Hyperlink"/>
          </w:rPr>
          <w:t xml:space="preserve">2018</w:t>
        </w:r>
      </w:hyperlink>
      <w:hyperlink w:anchor="ref-R-knitr">
        <w:r>
          <w:rPr>
            <w:rStyle w:val="Hyperlink"/>
          </w:rPr>
          <w:t xml:space="preserve">b</w:t>
        </w:r>
      </w:hyperlink>
      <w:r>
        <w:t xml:space="preserve">; Ihaka et al.</w:t>
      </w:r>
      <w:r>
        <w:t xml:space="preserve"> </w:t>
      </w:r>
      <w:hyperlink w:anchor="ref-R-colorspace">
        <w:r>
          <w:rPr>
            <w:rStyle w:val="Hyperlink"/>
          </w:rPr>
          <w:t xml:space="preserve">2019</w:t>
        </w:r>
      </w:hyperlink>
      <w:r>
        <w:t xml:space="preserve">; Wright</w:t>
      </w:r>
      <w:r>
        <w:t xml:space="preserve"> </w:t>
      </w:r>
      <w:hyperlink w:anchor="ref-R-DECIPHER">
        <w:r>
          <w:rPr>
            <w:rStyle w:val="Hyperlink"/>
          </w:rPr>
          <w:t xml:space="preserve">2019</w:t>
        </w:r>
      </w:hyperlink>
      <w:r>
        <w:t xml:space="preserve">; Wickham, François, et al.</w:t>
      </w:r>
      <w:r>
        <w:t xml:space="preserve"> </w:t>
      </w:r>
      <w:hyperlink w:anchor="ref-R-dplyr">
        <w:r>
          <w:rPr>
            <w:rStyle w:val="Hyperlink"/>
          </w:rPr>
          <w:t xml:space="preserve">2018</w:t>
        </w:r>
      </w:hyperlink>
      <w:r>
        <w:t xml:space="preserve">; Xie, Cheng, and Tan</w:t>
      </w:r>
      <w:r>
        <w:t xml:space="preserve"> </w:t>
      </w:r>
      <w:hyperlink w:anchor="ref-R-DT">
        <w:r>
          <w:rPr>
            <w:rStyle w:val="Hyperlink"/>
          </w:rPr>
          <w:t xml:space="preserve">2018</w:t>
        </w:r>
      </w:hyperlink>
      <w:r>
        <w:t xml:space="preserve">; Wickham</w:t>
      </w:r>
      <w:r>
        <w:t xml:space="preserve"> </w:t>
      </w:r>
      <w:hyperlink w:anchor="ref-R-forcats">
        <w:r>
          <w:rPr>
            <w:rStyle w:val="Hyperlink"/>
          </w:rPr>
          <w:t xml:space="preserve">2018</w:t>
        </w:r>
      </w:hyperlink>
      <w:hyperlink w:anchor="ref-R-forcats">
        <w:r>
          <w:rPr>
            <w:rStyle w:val="Hyperlink"/>
          </w:rPr>
          <w:t xml:space="preserve">a</w:t>
        </w:r>
      </w:hyperlink>
      <w:r>
        <w:t xml:space="preserve">,</w:t>
      </w:r>
      <w:r>
        <w:t xml:space="preserve"> </w:t>
      </w:r>
      <w:hyperlink w:anchor="ref-R-plyr">
        <w:r>
          <w:rPr>
            <w:rStyle w:val="Hyperlink"/>
          </w:rPr>
          <w:t xml:space="preserve">2016</w:t>
        </w:r>
      </w:hyperlink>
      <w:r>
        <w:t xml:space="preserve">,</w:t>
      </w:r>
      <w:r>
        <w:t xml:space="preserve"> </w:t>
      </w:r>
      <w:hyperlink w:anchor="ref-R-reshape2">
        <w:r>
          <w:rPr>
            <w:rStyle w:val="Hyperlink"/>
          </w:rPr>
          <w:t xml:space="preserve">2017</w:t>
        </w:r>
      </w:hyperlink>
      <w:hyperlink w:anchor="ref-R-reshape2">
        <w:r>
          <w:rPr>
            <w:rStyle w:val="Hyperlink"/>
          </w:rPr>
          <w:t xml:space="preserve">a</w:t>
        </w:r>
      </w:hyperlink>
      <w:r>
        <w:t xml:space="preserve">,</w:t>
      </w:r>
      <w:r>
        <w:t xml:space="preserve"> </w:t>
      </w:r>
      <w:hyperlink w:anchor="ref-R-scales">
        <w:r>
          <w:rPr>
            <w:rStyle w:val="Hyperlink"/>
          </w:rPr>
          <w:t xml:space="preserve">2018</w:t>
        </w:r>
      </w:hyperlink>
      <w:hyperlink w:anchor="ref-R-scales">
        <w:r>
          <w:rPr>
            <w:rStyle w:val="Hyperlink"/>
          </w:rPr>
          <w:t xml:space="preserve">b</w:t>
        </w:r>
      </w:hyperlink>
      <w:r>
        <w:t xml:space="preserve">,</w:t>
      </w:r>
      <w:r>
        <w:t xml:space="preserve"> </w:t>
      </w:r>
      <w:hyperlink w:anchor="ref-R-stringr">
        <w:r>
          <w:rPr>
            <w:rStyle w:val="Hyperlink"/>
          </w:rPr>
          <w:t xml:space="preserve">2018</w:t>
        </w:r>
      </w:hyperlink>
      <w:hyperlink w:anchor="ref-R-stringr">
        <w:r>
          <w:rPr>
            <w:rStyle w:val="Hyperlink"/>
          </w:rPr>
          <w:t xml:space="preserve">c</w:t>
        </w:r>
      </w:hyperlink>
      <w:r>
        <w:t xml:space="preserve">,</w:t>
      </w:r>
      <w:r>
        <w:t xml:space="preserve"> </w:t>
      </w:r>
      <w:hyperlink w:anchor="ref-R-tidyverse">
        <w:r>
          <w:rPr>
            <w:rStyle w:val="Hyperlink"/>
          </w:rPr>
          <w:t xml:space="preserve">2017</w:t>
        </w:r>
      </w:hyperlink>
      <w:hyperlink w:anchor="ref-R-tidyverse">
        <w:r>
          <w:rPr>
            <w:rStyle w:val="Hyperlink"/>
          </w:rPr>
          <w:t xml:space="preserve">b</w:t>
        </w:r>
      </w:hyperlink>
      <w:r>
        <w:t xml:space="preserve">; Aphalo</w:t>
      </w:r>
      <w:r>
        <w:t xml:space="preserve"> </w:t>
      </w:r>
      <w:hyperlink w:anchor="ref-R-gginnards">
        <w:r>
          <w:rPr>
            <w:rStyle w:val="Hyperlink"/>
          </w:rPr>
          <w:t xml:space="preserve">2018</w:t>
        </w:r>
      </w:hyperlink>
      <w:hyperlink w:anchor="ref-R-gginnards">
        <w:r>
          <w:rPr>
            <w:rStyle w:val="Hyperlink"/>
          </w:rPr>
          <w:t xml:space="preserve">a</w:t>
        </w:r>
      </w:hyperlink>
      <w:r>
        <w:t xml:space="preserve">,</w:t>
      </w:r>
      <w:r>
        <w:t xml:space="preserve"> </w:t>
      </w:r>
      <w:hyperlink w:anchor="ref-R-ggpmisc">
        <w:r>
          <w:rPr>
            <w:rStyle w:val="Hyperlink"/>
          </w:rPr>
          <w:t xml:space="preserve">2018</w:t>
        </w:r>
      </w:hyperlink>
      <w:hyperlink w:anchor="ref-R-ggpmisc">
        <w:r>
          <w:rPr>
            <w:rStyle w:val="Hyperlink"/>
          </w:rPr>
          <w:t xml:space="preserve">b</w:t>
        </w:r>
      </w:hyperlink>
      <w:r>
        <w:t xml:space="preserve">; Wickham, Chang, et al.</w:t>
      </w:r>
      <w:r>
        <w:t xml:space="preserve"> </w:t>
      </w:r>
      <w:hyperlink w:anchor="ref-R-ggplot2">
        <w:r>
          <w:rPr>
            <w:rStyle w:val="Hyperlink"/>
          </w:rPr>
          <w:t xml:space="preserve">2018</w:t>
        </w:r>
      </w:hyperlink>
      <w:r>
        <w:t xml:space="preserve">; Wagih</w:t>
      </w:r>
      <w:r>
        <w:t xml:space="preserve"> </w:t>
      </w:r>
      <w:hyperlink w:anchor="ref-R-ggseqlogo">
        <w:r>
          <w:rPr>
            <w:rStyle w:val="Hyperlink"/>
          </w:rPr>
          <w:t xml:space="preserve">2017</w:t>
        </w:r>
      </w:hyperlink>
      <w:r>
        <w:t xml:space="preserve">; Arnold</w:t>
      </w:r>
      <w:r>
        <w:t xml:space="preserve"> </w:t>
      </w:r>
      <w:hyperlink w:anchor="ref-R-ggthemes">
        <w:r>
          <w:rPr>
            <w:rStyle w:val="Hyperlink"/>
          </w:rPr>
          <w:t xml:space="preserve">2018</w:t>
        </w:r>
      </w:hyperlink>
      <w:r>
        <w:t xml:space="preserve">; Yu and Lam</w:t>
      </w:r>
      <w:r>
        <w:t xml:space="preserve"> </w:t>
      </w:r>
      <w:hyperlink w:anchor="ref-R-ggtree">
        <w:r>
          <w:rPr>
            <w:rStyle w:val="Hyperlink"/>
          </w:rPr>
          <w:t xml:space="preserve">2019</w:t>
        </w:r>
      </w:hyperlink>
      <w:r>
        <w:t xml:space="preserve">; Heibl</w:t>
      </w:r>
      <w:r>
        <w:t xml:space="preserve"> </w:t>
      </w:r>
      <w:hyperlink w:anchor="ref-R-ips">
        <w:r>
          <w:rPr>
            <w:rStyle w:val="Hyperlink"/>
          </w:rPr>
          <w:t xml:space="preserve">2014</w:t>
        </w:r>
      </w:hyperlink>
      <w:r>
        <w:t xml:space="preserve">; H. Pagès, Aboyoun, and Lawrence</w:t>
      </w:r>
      <w:r>
        <w:t xml:space="preserve"> </w:t>
      </w:r>
      <w:hyperlink w:anchor="ref-R-IRanges">
        <w:r>
          <w:rPr>
            <w:rStyle w:val="Hyperlink"/>
          </w:rPr>
          <w:t xml:space="preserve">2018</w:t>
        </w:r>
      </w:hyperlink>
      <w:r>
        <w:t xml:space="preserve">; Bache and Wickham</w:t>
      </w:r>
      <w:r>
        <w:t xml:space="preserve"> </w:t>
      </w:r>
      <w:hyperlink w:anchor="ref-R-magrittr">
        <w:r>
          <w:rPr>
            <w:rStyle w:val="Hyperlink"/>
          </w:rPr>
          <w:t xml:space="preserve">2014</w:t>
        </w:r>
      </w:hyperlink>
      <w:r>
        <w:t xml:space="preserve">; Henry and Wickham</w:t>
      </w:r>
      <w:r>
        <w:t xml:space="preserve"> </w:t>
      </w:r>
      <w:hyperlink w:anchor="ref-R-purrr">
        <w:r>
          <w:rPr>
            <w:rStyle w:val="Hyperlink"/>
          </w:rPr>
          <w:t xml:space="preserve">2018</w:t>
        </w:r>
      </w:hyperlink>
      <w:r>
        <w:t xml:space="preserve">; Hamm and Wright</w:t>
      </w:r>
      <w:r>
        <w:t xml:space="preserve"> </w:t>
      </w:r>
      <w:hyperlink w:anchor="ref-R-r1001genomes">
        <w:r>
          <w:rPr>
            <w:rStyle w:val="Hyperlink"/>
          </w:rPr>
          <w:t xml:space="preserve">2018</w:t>
        </w:r>
      </w:hyperlink>
      <w:r>
        <w:t xml:space="preserve">; Neuwirth</w:t>
      </w:r>
      <w:r>
        <w:t xml:space="preserve"> </w:t>
      </w:r>
      <w:hyperlink w:anchor="ref-R-RColorBrewer">
        <w:r>
          <w:rPr>
            <w:rStyle w:val="Hyperlink"/>
          </w:rPr>
          <w:t xml:space="preserve">2014</w:t>
        </w:r>
      </w:hyperlink>
      <w:r>
        <w:t xml:space="preserve">; Wickham, Hester, and Francois</w:t>
      </w:r>
      <w:r>
        <w:t xml:space="preserve"> </w:t>
      </w:r>
      <w:hyperlink w:anchor="ref-R-readr">
        <w:r>
          <w:rPr>
            <w:rStyle w:val="Hyperlink"/>
          </w:rPr>
          <w:t xml:space="preserve">2018</w:t>
        </w:r>
      </w:hyperlink>
      <w:r>
        <w:t xml:space="preserve">; Allaire, Ushey, and Tang</w:t>
      </w:r>
      <w:r>
        <w:t xml:space="preserve"> </w:t>
      </w:r>
      <w:hyperlink w:anchor="ref-R-reticulate">
        <w:r>
          <w:rPr>
            <w:rStyle w:val="Hyperlink"/>
          </w:rPr>
          <w:t xml:space="preserve">2018</w:t>
        </w:r>
      </w:hyperlink>
      <w:r>
        <w:t xml:space="preserve">; Allaire et al.</w:t>
      </w:r>
      <w:r>
        <w:t xml:space="preserve"> </w:t>
      </w:r>
      <w:hyperlink w:anchor="ref-R-rmarkdown">
        <w:r>
          <w:rPr>
            <w:rStyle w:val="Hyperlink"/>
          </w:rPr>
          <w:t xml:space="preserve">2018</w:t>
        </w:r>
      </w:hyperlink>
      <w:r>
        <w:t xml:space="preserve">; Müller et al.</w:t>
      </w:r>
      <w:r>
        <w:t xml:space="preserve"> </w:t>
      </w:r>
      <w:hyperlink w:anchor="ref-R-RSQLite">
        <w:r>
          <w:rPr>
            <w:rStyle w:val="Hyperlink"/>
          </w:rPr>
          <w:t xml:space="preserve">2018</w:t>
        </w:r>
      </w:hyperlink>
      <w:r>
        <w:t xml:space="preserve">; H. Pagès, Lawrence, and Aboyoun</w:t>
      </w:r>
      <w:r>
        <w:t xml:space="preserve"> </w:t>
      </w:r>
      <w:hyperlink w:anchor="ref-R-S4Vectors">
        <w:r>
          <w:rPr>
            <w:rStyle w:val="Hyperlink"/>
          </w:rPr>
          <w:t xml:space="preserve">2018</w:t>
        </w:r>
      </w:hyperlink>
      <w:r>
        <w:t xml:space="preserve">; Müller and Wickham</w:t>
      </w:r>
      <w:r>
        <w:t xml:space="preserve"> </w:t>
      </w:r>
      <w:hyperlink w:anchor="ref-R-tibble">
        <w:r>
          <w:rPr>
            <w:rStyle w:val="Hyperlink"/>
          </w:rPr>
          <w:t xml:space="preserve">2019</w:t>
        </w:r>
      </w:hyperlink>
      <w:r>
        <w:t xml:space="preserve">; Wickham and Henry</w:t>
      </w:r>
      <w:r>
        <w:t xml:space="preserve"> </w:t>
      </w:r>
      <w:hyperlink w:anchor="ref-R-tidyr">
        <w:r>
          <w:rPr>
            <w:rStyle w:val="Hyperlink"/>
          </w:rPr>
          <w:t xml:space="preserve">2018</w:t>
        </w:r>
      </w:hyperlink>
      <w:r>
        <w:t xml:space="preserve">; Yu</w:t>
      </w:r>
      <w:r>
        <w:t xml:space="preserve"> </w:t>
      </w:r>
      <w:hyperlink w:anchor="ref-R-treeio">
        <w:r>
          <w:rPr>
            <w:rStyle w:val="Hyperlink"/>
          </w:rPr>
          <w:t xml:space="preserve">2018</w:t>
        </w:r>
      </w:hyperlink>
      <w:r>
        <w:t xml:space="preserve">; Garnier</w:t>
      </w:r>
      <w:r>
        <w:t xml:space="preserve"> </w:t>
      </w:r>
      <w:hyperlink w:anchor="ref-R-viridis">
        <w:r>
          <w:rPr>
            <w:rStyle w:val="Hyperlink"/>
          </w:rPr>
          <w:t xml:space="preserve">2018</w:t>
        </w:r>
      </w:hyperlink>
      <w:hyperlink w:anchor="ref-R-viridis">
        <w:r>
          <w:rPr>
            <w:rStyle w:val="Hyperlink"/>
          </w:rPr>
          <w:t xml:space="preserve">a</w:t>
        </w:r>
      </w:hyperlink>
      <w:r>
        <w:t xml:space="preserve">,</w:t>
      </w:r>
      <w:r>
        <w:t xml:space="preserve"> </w:t>
      </w:r>
      <w:hyperlink w:anchor="ref-R-viridisLite">
        <w:r>
          <w:rPr>
            <w:rStyle w:val="Hyperlink"/>
          </w:rPr>
          <w:t xml:space="preserve">2018</w:t>
        </w:r>
      </w:hyperlink>
      <w:hyperlink w:anchor="ref-R-viridisLite">
        <w:r>
          <w:rPr>
            <w:rStyle w:val="Hyperlink"/>
          </w:rPr>
          <w:t xml:space="preserve">b</w:t>
        </w:r>
      </w:hyperlink>
      <w:r>
        <w:t xml:space="preserve">; Temple Lang and CRAN Team</w:t>
      </w:r>
      <w:r>
        <w:t xml:space="preserve"> </w:t>
      </w:r>
      <w:hyperlink w:anchor="ref-R-XML">
        <w:r>
          <w:rPr>
            <w:rStyle w:val="Hyperlink"/>
          </w:rPr>
          <w:t xml:space="preserve">2018</w:t>
        </w:r>
      </w:hyperlink>
      <w:r>
        <w:t xml:space="preserve">; Hervé Pagès and Aboyoun</w:t>
      </w:r>
      <w:r>
        <w:t xml:space="preserve"> </w:t>
      </w:r>
      <w:hyperlink w:anchor="ref-R-XVector">
        <w:r>
          <w:rPr>
            <w:rStyle w:val="Hyperlink"/>
          </w:rPr>
          <w:t xml:space="preserve">2018</w:t>
        </w:r>
      </w:hyperlink>
      <w:r>
        <w:t xml:space="preserve">)</w:t>
      </w:r>
    </w:p>
    <w:p>
      <w:pPr>
        <w:pStyle w:val="Heading2"/>
      </w:pPr>
      <w:bookmarkStart w:id="59" w:name="testing"/>
      <w:r>
        <w:t xml:space="preserve">Testing</w:t>
      </w:r>
      <w:bookmarkEnd w:id="59"/>
    </w:p>
    <w:p>
      <w:pPr>
        <w:pStyle w:val="FirstParagraph"/>
      </w:pPr>
      <w:r>
        <w:t xml:space="preserve">A group consisting of undergraduate and graduate students, post-doctoral and post-baccalaureate researchers (the authors of this publication) were assembled to test the functionality of ViVa. Testers were asked to use the ViVa web interface to analyze the genetic variation at the clade or whole gene family level of the auxin nuclear signaling pathway. Testers were provided with a brief vignette on how to use ViVa to formulate new hypotheses or support existing hypotheses about gene function and evolution, which has been expanded to the</w:t>
      </w:r>
      <w:r>
        <w:t xml:space="preserve"> </w:t>
      </w:r>
      <w:r>
        <w:t xml:space="preserve">“</w:t>
      </w:r>
      <w:r>
        <w:t xml:space="preserve">An Overview of ViVa</w:t>
      </w:r>
      <w:r>
        <w:t xml:space="preserve">”</w:t>
      </w:r>
      <w:r>
        <w:t xml:space="preserve"> </w:t>
      </w:r>
      <w:r>
        <w:t xml:space="preserve">section. The testers had background knowledge of these genes as members of laboratories studying auxin nuclear signaling. Testers met weekly with the developers to discuss their user experience and their findings. Tester experiences, issues, and suggestions were incorporated into the ViVa software. The results collected by these analyses are summarized in the</w:t>
      </w:r>
      <w:r>
        <w:t xml:space="preserve"> </w:t>
      </w:r>
      <w:r>
        <w:t xml:space="preserve">“</w:t>
      </w:r>
      <w:r>
        <w:t xml:space="preserve">Visualizing Variation within the auxin signaling pathway</w:t>
      </w:r>
      <w:r>
        <w:t xml:space="preserve">”</w:t>
      </w:r>
      <w:r>
        <w:t xml:space="preserve"> </w:t>
      </w:r>
      <w:r>
        <w:t xml:space="preserve">section and</w:t>
      </w:r>
      <w:r>
        <w:t xml:space="preserve"> </w:t>
      </w:r>
      <w:hyperlink w:anchor="si">
        <w:r>
          <w:rPr>
            <w:rStyle w:val="Hyperlink"/>
          </w:rPr>
          <w:t xml:space="preserve">Supplemental Analysis</w:t>
        </w:r>
      </w:hyperlink>
      <w:r>
        <w:t xml:space="preserve">.</w:t>
      </w:r>
    </w:p>
    <w:p>
      <w:pPr>
        <w:pStyle w:val="Heading1"/>
      </w:pPr>
      <w:bookmarkStart w:id="60" w:name="acknowledgements"/>
      <w:r>
        <w:t xml:space="preserve">Acknowledgements</w:t>
      </w:r>
      <w:bookmarkEnd w:id="60"/>
    </w:p>
    <w:p>
      <w:pPr>
        <w:pStyle w:val="FirstParagraph"/>
      </w:pPr>
      <w:r>
        <w:t xml:space="preserve">The authors would like to thank Oghenemega Okolo for assistance testing the ViVa software, and Song Li and Bo Zhang for helpful comments on the manuscript. This work was supported by the National Institute of Health (R01-GM107084), the National Science Foundation (IOS-1546873) and the Howard Hughes Medical Institute. R.C.W. received fellowship support from the National Science Foundation (DBI-1402222). B.L.M. and H.K. received support from the M.J. Murdock Charitable Trust. A.R.L. is a Simons Foundation Fellow of the Life Sciences Research Foundation. A.L. was supported by an NSF Graduate Research Fellowship DGE-1256082.</w:t>
      </w:r>
    </w:p>
    <w:p>
      <w:pPr>
        <w:pStyle w:val="Heading1"/>
      </w:pPr>
      <w:bookmarkStart w:id="61" w:name="si"/>
      <w:r>
        <w:t xml:space="preserve">Supplemental Analysis</w:t>
      </w:r>
      <w:bookmarkEnd w:id="61"/>
    </w:p>
    <w:p>
      <w:pPr>
        <w:pStyle w:val="Heading2"/>
      </w:pPr>
      <w:bookmarkStart w:id="62" w:name="IAAs"/>
      <w:r>
        <w:t xml:space="preserve">Additional natural variation in the</w:t>
      </w:r>
      <w:r>
        <w:t xml:space="preserve"> </w:t>
      </w:r>
      <w:r>
        <w:rPr>
          <w:i/>
        </w:rPr>
        <w:t xml:space="preserve">Aux/IAA</w:t>
      </w:r>
      <w:r>
        <w:t xml:space="preserve"> </w:t>
      </w:r>
      <w:r>
        <w:t xml:space="preserve">genes</w:t>
      </w:r>
      <w:bookmarkEnd w:id="62"/>
    </w:p>
    <w:p>
      <w:pPr>
        <w:pStyle w:val="FirstParagraph"/>
      </w:pPr>
      <w:r>
        <w:t xml:space="preserve">For simplicity we have included only the alignment of the class A Aux/IAAs in the main manuscript. We include here the complete alignment of the family (Figure</w:t>
      </w:r>
      <w:r>
        <w:t xml:space="preserve"> </w:t>
      </w:r>
      <w:r>
        <w:t xml:space="preserve">6</w:t>
      </w:r>
      <w:r>
        <w:t xml:space="preserve">).</w:t>
      </w:r>
    </w:p>
    <w:p>
      <w:pPr>
        <w:pStyle w:val="CaptionedFigure"/>
      </w:pPr>
      <w:r>
        <w:drawing>
          <wp:inline>
            <wp:extent cx="5334000" cy="6096000"/>
            <wp:effectExtent b="0" l="0" r="0" t="0"/>
            <wp:docPr descr="Figure 6 Alignment of the complete Aux/IAA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 Methods. Alignment consensus is shown in grayscale underneath the plot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IAA-alignment-1.png" id="0" name="Picture"/>
                    <pic:cNvPicPr>
                      <a:picLocks noChangeArrowheads="1" noChangeAspect="1"/>
                    </pic:cNvPicPr>
                  </pic:nvPicPr>
                  <pic:blipFill>
                    <a:blip r:embed="rId6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Alignment of the complete Aux/IAA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w:t>
      </w:r>
      <w:r>
        <w:t xml:space="preserve"> </w:t>
      </w:r>
      <w:hyperlink w:anchor="methods">
        <w:r>
          <w:rPr>
            <w:rStyle w:val="Hyperlink"/>
          </w:rPr>
          <w:t xml:space="preserve">Methods</w:t>
        </w:r>
      </w:hyperlink>
      <w:r>
        <w:t xml:space="preserve">. Alignment consensus is shown in grayscale underneath the plot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CaptionedFigure"/>
      </w:pPr>
      <w:r>
        <w:drawing>
          <wp:inline>
            <wp:extent cx="5334000" cy="3048000"/>
            <wp:effectExtent b="0" l="0" r="0" t="0"/>
            <wp:docPr descr="Figure 7 IAA6 diversity plot. Nucleotide diversity of variant positions throughout the IAA6 coding sequence are plotted and colored according to the effect of the variant alleles at each position. The region of positive selection identified by Winkler et al. is highlighted." title="" id="1" name="Picture"/>
            <a:graphic>
              <a:graphicData uri="http://schemas.openxmlformats.org/drawingml/2006/picture">
                <pic:pic>
                  <pic:nvPicPr>
                    <pic:cNvPr descr="manuscript_files/figure-docx/IAA6-div-plot-1.png" id="0" name="Picture"/>
                    <pic:cNvPicPr>
                      <a:picLocks noChangeArrowheads="1" noChangeAspect="1"/>
                    </pic:cNvPicPr>
                  </pic:nvPicPr>
                  <pic:blipFill>
                    <a:blip r:embed="rId6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IAA6 diversity plot.</w:t>
      </w:r>
      <w:r>
        <w:t xml:space="preserve"> </w:t>
      </w:r>
      <w:r>
        <w:t xml:space="preserve">Nucleotide diversity of variant positions throughout the IAA6 coding sequence are plotted and colored according to the effect of the variant alleles at each position. The region of positive selection identified by Winkler et al. is highlighted.</w:t>
      </w:r>
    </w:p>
    <w:p>
      <w:pPr>
        <w:pStyle w:val="Heading2"/>
      </w:pPr>
      <w:bookmarkStart w:id="65" w:name="AFBs"/>
      <w:r>
        <w:t xml:space="preserve">Natural variation in the</w:t>
      </w:r>
      <w:r>
        <w:t xml:space="preserve"> </w:t>
      </w:r>
      <w:r>
        <w:rPr>
          <w:i/>
        </w:rPr>
        <w:t xml:space="preserve">TIR1/AFB</w:t>
      </w:r>
      <w:r>
        <w:t xml:space="preserve"> </w:t>
      </w:r>
      <w:r>
        <w:t xml:space="preserve">genes</w:t>
      </w:r>
      <w:bookmarkEnd w:id="65"/>
    </w:p>
    <w:p>
      <w:pPr>
        <w:pStyle w:val="FirstParagraph"/>
      </w:pPr>
      <w:r>
        <w:t xml:space="preserve">Auxin acts by binding to receptors (Auxin-signaling F-Boxes, or AFBs) that in turn target co-repressors (Aux/IAAs) for degradation. The six auxin receptor genes in the model plant</w:t>
      </w:r>
      <w:r>
        <w:t xml:space="preserve"> </w:t>
      </w:r>
      <w:r>
        <w:rPr>
          <w:i/>
        </w:rPr>
        <w:t xml:space="preserve">Arabidopsis thaliana</w:t>
      </w:r>
      <w:r>
        <w:t xml:space="preserve">,</w:t>
      </w:r>
      <w:r>
        <w:t xml:space="preserve"> </w:t>
      </w:r>
      <w:r>
        <w:rPr>
          <w:i/>
        </w:rPr>
        <w:t xml:space="preserve">TIR1</w:t>
      </w:r>
      <w:r>
        <w:t xml:space="preserve"> </w:t>
      </w:r>
      <w:r>
        <w:t xml:space="preserve">and</w:t>
      </w:r>
      <w:r>
        <w:t xml:space="preserve"> </w:t>
      </w:r>
      <w:r>
        <w:rPr>
          <w:i/>
        </w:rPr>
        <w:t xml:space="preserve">AFB1-5</w:t>
      </w:r>
      <w:r>
        <w:t xml:space="preserve">, evolved through gene duplication and diversification early in the history of vascular plants</w:t>
      </w:r>
      <w:r>
        <w:t xml:space="preserve"> </w:t>
      </w:r>
      <w:r>
        <w:t xml:space="preserve">(Parry et al.</w:t>
      </w:r>
      <w:r>
        <w:t xml:space="preserve"> </w:t>
      </w:r>
      <w:hyperlink w:anchor="ref-parry_complex_2009">
        <w:r>
          <w:rPr>
            <w:rStyle w:val="Hyperlink"/>
          </w:rPr>
          <w:t xml:space="preserve">2009</w:t>
        </w:r>
      </w:hyperlink>
      <w:r>
        <w:t xml:space="preserve">)</w:t>
      </w:r>
      <w:r>
        <w:t xml:space="preserve">. The rate of co-repressor degradation is determined by the identity of both the receptor and co-repressor</w:t>
      </w:r>
      <w:r>
        <w:t xml:space="preserve"> </w:t>
      </w:r>
      <w:r>
        <w:t xml:space="preserve">(Havens et al.</w:t>
      </w:r>
      <w:r>
        <w:t xml:space="preserve"> </w:t>
      </w:r>
      <w:hyperlink w:anchor="ref-havens_synthetic_2012">
        <w:r>
          <w:rPr>
            <w:rStyle w:val="Hyperlink"/>
          </w:rPr>
          <w:t xml:space="preserve">2012</w:t>
        </w:r>
      </w:hyperlink>
      <w:r>
        <w:t xml:space="preserve">)</w:t>
      </w:r>
      <w:r>
        <w:t xml:space="preserve">, and this rate sets the pace of lateral root development</w:t>
      </w:r>
      <w:r>
        <w:t xml:space="preserve"> </w:t>
      </w:r>
      <w:r>
        <w:t xml:space="preserve">(Guseman et al.</w:t>
      </w:r>
      <w:r>
        <w:t xml:space="preserve"> </w:t>
      </w:r>
      <w:hyperlink w:anchor="ref-guseman_auxininduced_2015">
        <w:r>
          <w:rPr>
            <w:rStyle w:val="Hyperlink"/>
          </w:rPr>
          <w:t xml:space="preserve">2015</w:t>
        </w:r>
      </w:hyperlink>
      <w:r>
        <w:t xml:space="preserve">)</w:t>
      </w:r>
      <w:r>
        <w:t xml:space="preserve">.</w:t>
      </w:r>
    </w:p>
    <w:p>
      <w:pPr>
        <w:pStyle w:val="BodyText"/>
      </w:pPr>
      <w:r>
        <w:t xml:space="preserve">All members of this family have been shown to bind auxin and Aux/IAA proteins. However, AFB1 has a drastically reduced ability to assemble into an SCF complex, due to the substitution E8K in its F-box domain, preventing it from inducing degradation of Aux/IAAs</w:t>
      </w:r>
      <w:r>
        <w:t xml:space="preserve"> </w:t>
      </w:r>
      <w:r>
        <w:t xml:space="preserve">(Yu et al.</w:t>
      </w:r>
      <w:r>
        <w:t xml:space="preserve"> </w:t>
      </w:r>
      <w:hyperlink w:anchor="ref-yu_untethering_2015">
        <w:r>
          <w:rPr>
            <w:rStyle w:val="Hyperlink"/>
          </w:rPr>
          <w:t xml:space="preserve">2015</w:t>
        </w:r>
      </w:hyperlink>
      <w:r>
        <w:t xml:space="preserve">)</w:t>
      </w:r>
      <w:r>
        <w:t xml:space="preserve">. This lack of SCF formation may allow for the high and ubiquitous AFB1 accumulation observed in</w:t>
      </w:r>
      <w:r>
        <w:t xml:space="preserve"> </w:t>
      </w:r>
      <w:r>
        <w:rPr>
          <w:i/>
        </w:rPr>
        <w:t xml:space="preserve">Arabidopsis</w:t>
      </w:r>
      <w:r>
        <w:t xml:space="preserve"> </w:t>
      </w:r>
      <w:r>
        <w:t xml:space="preserve">tissues</w:t>
      </w:r>
      <w:r>
        <w:t xml:space="preserve"> </w:t>
      </w:r>
      <w:r>
        <w:t xml:space="preserve">(Parry et al.</w:t>
      </w:r>
      <w:r>
        <w:t xml:space="preserve"> </w:t>
      </w:r>
      <w:hyperlink w:anchor="ref-parry_complex_2009">
        <w:r>
          <w:rPr>
            <w:rStyle w:val="Hyperlink"/>
          </w:rPr>
          <w:t xml:space="preserve">2009</w:t>
        </w:r>
      </w:hyperlink>
      <w:r>
        <w:t xml:space="preserve">)</w:t>
      </w:r>
      <w:r>
        <w:t xml:space="preserve">. Higher order receptor mutants in the family containing</w:t>
      </w:r>
      <w:r>
        <w:t xml:space="preserve"> </w:t>
      </w:r>
      <w:r>
        <w:rPr>
          <w:i/>
        </w:rPr>
        <w:t xml:space="preserve">afb1</w:t>
      </w:r>
      <w:r>
        <w:t xml:space="preserve"> </w:t>
      </w:r>
      <w:r>
        <w:t xml:space="preserve">mutants suggest that</w:t>
      </w:r>
      <w:r>
        <w:t xml:space="preserve"> </w:t>
      </w:r>
      <w:r>
        <w:rPr>
          <w:i/>
        </w:rPr>
        <w:t xml:space="preserve">AFB1</w:t>
      </w:r>
      <w:r>
        <w:t xml:space="preserve"> </w:t>
      </w:r>
      <w:r>
        <w:t xml:space="preserve">has a moderate positive effect on auxin signaling</w:t>
      </w:r>
      <w:r>
        <w:t xml:space="preserve"> </w:t>
      </w:r>
      <w:r>
        <w:t xml:space="preserve">(Dharmasiri et al.</w:t>
      </w:r>
      <w:r>
        <w:t xml:space="preserve"> </w:t>
      </w:r>
      <w:hyperlink w:anchor="ref-dharmasiri_plant_2005">
        <w:r>
          <w:rPr>
            <w:rStyle w:val="Hyperlink"/>
          </w:rPr>
          <w:t xml:space="preserve">2005</w:t>
        </w:r>
      </w:hyperlink>
      <w:r>
        <w:t xml:space="preserve">)</w:t>
      </w:r>
      <w:r>
        <w:t xml:space="preserve">. Additionally, AFB4 and AFB5 have been shown to preferentially and functionally bind the synthetic auxin picloram, while other family members preferentially bind indole-3-acetic acid</w:t>
      </w:r>
      <w:r>
        <w:t xml:space="preserve"> </w:t>
      </w:r>
      <w:r>
        <w:t xml:space="preserve">(Prigge et al.</w:t>
      </w:r>
      <w:r>
        <w:t xml:space="preserve"> </w:t>
      </w:r>
      <w:hyperlink w:anchor="ref-prigge_arabidopsis_2016">
        <w:r>
          <w:rPr>
            <w:rStyle w:val="Hyperlink"/>
          </w:rPr>
          <w:t xml:space="preserve">2016</w:t>
        </w:r>
      </w:hyperlink>
      <w:r>
        <w:t xml:space="preserve">)</w:t>
      </w:r>
      <w:r>
        <w:t xml:space="preserve">. Interestingly, the strength and rate with which TIR1/AFBs are able to bind and mark Aux/IAAs for degradation are variable</w:t>
      </w:r>
      <w:r>
        <w:t xml:space="preserve"> </w:t>
      </w:r>
      <w:r>
        <w:t xml:space="preserve">(Calderón Villalobos et al.</w:t>
      </w:r>
      <w:r>
        <w:t xml:space="preserve"> </w:t>
      </w:r>
      <w:hyperlink w:anchor="X0b538c1a3641b0e3624d0afb4fde67e59e5153a">
        <w:r>
          <w:rPr>
            <w:rStyle w:val="Hyperlink"/>
          </w:rPr>
          <w:t xml:space="preserve">2012</w:t>
        </w:r>
      </w:hyperlink>
      <w:r>
        <w:t xml:space="preserve">; Havens et al.</w:t>
      </w:r>
      <w:r>
        <w:t xml:space="preserve"> </w:t>
      </w:r>
      <w:hyperlink w:anchor="ref-havens_synthetic_2012">
        <w:r>
          <w:rPr>
            <w:rStyle w:val="Hyperlink"/>
          </w:rPr>
          <w:t xml:space="preserve">2012</w:t>
        </w:r>
      </w:hyperlink>
      <w:r>
        <w:t xml:space="preserve">)</w:t>
      </w:r>
      <w:r>
        <w:t xml:space="preserve">. AFB2 induces the degradation of certain Aux/IAA proteins at a faster rate than TIR1, suggesting some functional specificity has arisen since the initial duplication between the</w:t>
      </w:r>
      <w:r>
        <w:t xml:space="preserve"> </w:t>
      </w:r>
      <w:r>
        <w:rPr>
          <w:i/>
        </w:rPr>
        <w:t xml:space="preserve">TIR1/AFB1</w:t>
      </w:r>
      <w:r>
        <w:t xml:space="preserve"> </w:t>
      </w:r>
      <w:r>
        <w:t xml:space="preserve">and</w:t>
      </w:r>
      <w:r>
        <w:t xml:space="preserve"> </w:t>
      </w:r>
      <w:r>
        <w:rPr>
          <w:i/>
        </w:rPr>
        <w:t xml:space="preserve">AFB2/AFB3</w:t>
      </w:r>
      <w:r>
        <w:t xml:space="preserve"> </w:t>
      </w:r>
      <w:r>
        <w:t xml:space="preserve">clades.</w:t>
      </w:r>
    </w:p>
    <w:p>
      <w:pPr>
        <w:pStyle w:val="CaptionedFigure"/>
      </w:pPr>
      <w:r>
        <w:drawing>
          <wp:inline>
            <wp:extent cx="5334000" cy="3048000"/>
            <wp:effectExtent b="0" l="0" r="0" t="0"/>
            <wp:docPr descr="Figure 8 AFB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ior probability of monophyly." title="" id="1" name="Picture"/>
            <a:graphic>
              <a:graphicData uri="http://schemas.openxmlformats.org/drawingml/2006/picture">
                <pic:pic>
                  <pic:nvPicPr>
                    <pic:cNvPr descr="manuscript_files/figure-docx/AFBtree-1.png" id="0" name="Picture"/>
                    <pic:cNvPicPr>
                      <a:picLocks noChangeArrowheads="1" noChangeAspect="1"/>
                    </pic:cNvPicPr>
                  </pic:nvPicPr>
                  <pic:blipFill>
                    <a:blip r:embed="rId6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AFB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posterior probability of monophyly.</w:t>
      </w:r>
    </w:p>
    <w:p>
      <w:pPr>
        <w:pStyle w:val="BodyText"/>
      </w:pPr>
      <w:r>
        <w:t xml:space="preserve">Examining the natural sequence variation across the</w:t>
      </w:r>
      <w:r>
        <w:t xml:space="preserve"> </w:t>
      </w:r>
      <w:r>
        <w:rPr>
          <w:i/>
        </w:rPr>
        <w:t xml:space="preserve">AFB</w:t>
      </w:r>
      <w:r>
        <w:t xml:space="preserve"> </w:t>
      </w:r>
      <w:r>
        <w:t xml:space="preserve">family revealed that</w:t>
      </w:r>
      <w:r>
        <w:t xml:space="preserve"> </w:t>
      </w:r>
      <w:r>
        <w:rPr>
          <w:i/>
        </w:rPr>
        <w:t xml:space="preserve">TIR1</w:t>
      </w:r>
      <w:r>
        <w:t xml:space="preserve"> </w:t>
      </w:r>
      <w:r>
        <w:t xml:space="preserve">and</w:t>
      </w:r>
      <w:r>
        <w:t xml:space="preserve"> </w:t>
      </w:r>
      <w:r>
        <w:rPr>
          <w:i/>
        </w:rPr>
        <w:t xml:space="preserve">AFB1</w:t>
      </w:r>
      <w:r>
        <w:t xml:space="preserve"> </w:t>
      </w:r>
      <w:r>
        <w:t xml:space="preserve">both had very low nonsynonymous diversity (Figure</w:t>
      </w:r>
      <w:r>
        <w:t xml:space="preserve"> </w:t>
      </w:r>
      <w:r>
        <w:t xml:space="preserve">8</w:t>
      </w:r>
      <w:r>
        <w:t xml:space="preserve">), hinting at their likely functional importance and bringing in to question the inconclusive role of</w:t>
      </w:r>
      <w:r>
        <w:t xml:space="preserve"> </w:t>
      </w:r>
      <w:r>
        <w:rPr>
          <w:i/>
        </w:rPr>
        <w:t xml:space="preserve">AFB1</w:t>
      </w:r>
      <w:r>
        <w:t xml:space="preserve"> </w:t>
      </w:r>
      <w:r>
        <w:t xml:space="preserve">in auxin signaling.</w:t>
      </w:r>
      <w:r>
        <w:t xml:space="preserve"> </w:t>
      </w:r>
      <w:r>
        <w:rPr>
          <w:i/>
        </w:rPr>
        <w:t xml:space="preserve">AFB3</w:t>
      </w:r>
      <w:r>
        <w:t xml:space="preserve"> </w:t>
      </w:r>
      <w:r>
        <w:t xml:space="preserve">and</w:t>
      </w:r>
      <w:r>
        <w:t xml:space="preserve"> </w:t>
      </w:r>
      <w:r>
        <w:rPr>
          <w:i/>
        </w:rPr>
        <w:t xml:space="preserve">AFB4</w:t>
      </w:r>
      <w:r>
        <w:t xml:space="preserve"> </w:t>
      </w:r>
      <w:r>
        <w:t xml:space="preserve">had higher nonsynonymous diversity, while their sister genes,</w:t>
      </w:r>
      <w:r>
        <w:t xml:space="preserve"> </w:t>
      </w:r>
      <w:r>
        <w:rPr>
          <w:i/>
        </w:rPr>
        <w:t xml:space="preserve">AFB2</w:t>
      </w:r>
      <w:r>
        <w:t xml:space="preserve"> </w:t>
      </w:r>
      <w:r>
        <w:t xml:space="preserve">and</w:t>
      </w:r>
      <w:r>
        <w:t xml:space="preserve"> </w:t>
      </w:r>
      <w:r>
        <w:rPr>
          <w:i/>
        </w:rPr>
        <w:t xml:space="preserve">AFB5</w:t>
      </w:r>
      <w:r>
        <w:t xml:space="preserve"> </w:t>
      </w:r>
      <w:r>
        <w:t xml:space="preserve">were more conserved. This matches our current understanding of</w:t>
      </w:r>
      <w:r>
        <w:t xml:space="preserve"> </w:t>
      </w:r>
      <w:r>
        <w:rPr>
          <w:i/>
        </w:rPr>
        <w:t xml:space="preserve">AFB3</w:t>
      </w:r>
      <w:r>
        <w:t xml:space="preserve"> </w:t>
      </w:r>
      <w:r>
        <w:t xml:space="preserve">as playing a minor role in the auxin signaling pathway</w:t>
      </w:r>
      <w:r>
        <w:t xml:space="preserve"> </w:t>
      </w:r>
      <w:r>
        <w:t xml:space="preserve">(Dharmasiri et al.</w:t>
      </w:r>
      <w:r>
        <w:t xml:space="preserve"> </w:t>
      </w:r>
      <w:hyperlink w:anchor="ref-dharmasiri_plant_2005">
        <w:r>
          <w:rPr>
            <w:rStyle w:val="Hyperlink"/>
          </w:rPr>
          <w:t xml:space="preserve">2005</w:t>
        </w:r>
      </w:hyperlink>
      <w:r>
        <w:t xml:space="preserve">)</w:t>
      </w:r>
      <w:r>
        <w:t xml:space="preserve">. Two frameshift variants and one stop-gained (nonsense) variant were observed in</w:t>
      </w:r>
      <w:r>
        <w:t xml:space="preserve"> </w:t>
      </w:r>
      <w:r>
        <w:rPr>
          <w:i/>
        </w:rPr>
        <w:t xml:space="preserve">AFB4</w:t>
      </w:r>
      <w:r>
        <w:t xml:space="preserve"> </w:t>
      </w:r>
      <w:r>
        <w:t xml:space="preserve">supporting its pseudogenization., suggesting that</w:t>
      </w:r>
      <w:r>
        <w:t xml:space="preserve"> </w:t>
      </w:r>
      <w:r>
        <w:rPr>
          <w:i/>
        </w:rPr>
        <w:t xml:space="preserve">AFB4</w:t>
      </w:r>
      <w:r>
        <w:t xml:space="preserve"> </w:t>
      </w:r>
      <w:r>
        <w:t xml:space="preserve">may be undergoing pseudogenization, especially when paired with its low expression levels</w:t>
      </w:r>
      <w:r>
        <w:t xml:space="preserve"> </w:t>
      </w:r>
      <w:r>
        <w:t xml:space="preserve">(Prigge et al.</w:t>
      </w:r>
      <w:r>
        <w:t xml:space="preserve"> </w:t>
      </w:r>
      <w:hyperlink w:anchor="ref-prigge_arabidopsis_2016">
        <w:r>
          <w:rPr>
            <w:rStyle w:val="Hyperlink"/>
          </w:rPr>
          <w:t xml:space="preserve">2016</w:t>
        </w:r>
      </w:hyperlink>
      <w:r>
        <w:t xml:space="preserve">)</w:t>
      </w:r>
      <w:r>
        <w:t xml:space="preserve">. AFB4 and AFB5 have an N-terminal extension prior to their F-box domains. This extension had very high nonsynonymous diversity (Figure</w:t>
      </w:r>
      <w:r>
        <w:t xml:space="preserve"> </w:t>
      </w:r>
      <w:r>
        <w:t xml:space="preserve">9</w:t>
      </w:r>
      <w:r>
        <w:t xml:space="preserve">), suggesting that this extension does not play an important functional role in these proteins.</w:t>
      </w:r>
    </w:p>
    <w:p>
      <w:pPr>
        <w:pStyle w:val="CaptionedFigure"/>
      </w:pPr>
      <w:r>
        <w:drawing>
          <wp:inline>
            <wp:extent cx="5334000" cy="3048000"/>
            <wp:effectExtent b="0" l="0" r="0" t="0"/>
            <wp:docPr descr="Figure 9 Alignment of the AFB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FBs-alignment-1.png" id="0" name="Picture"/>
                    <pic:cNvPicPr>
                      <a:picLocks noChangeArrowheads="1" noChangeAspect="1"/>
                    </pic:cNvPicPr>
                  </pic:nvPicPr>
                  <pic:blipFill>
                    <a:blip r:embed="rId6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9</w:t>
      </w:r>
      <w:r>
        <w:t xml:space="preserve"> </w:t>
      </w:r>
      <w:r>
        <w:rPr>
          <w:b/>
        </w:rPr>
        <w:t xml:space="preserve">Alignment of the AFB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Although most known functional regions are highly conserved in</w:t>
      </w:r>
      <w:r>
        <w:t xml:space="preserve"> </w:t>
      </w:r>
      <w:r>
        <w:rPr>
          <w:i/>
        </w:rPr>
        <w:t xml:space="preserve">AFB1</w:t>
      </w:r>
      <w:r>
        <w:t xml:space="preserve">, there are some nonsynonymous polymorphism in the oligomerization domain that are only present in single accessions (F125E in Can-0 and I163N in Pu2-23, as shown in Figure</w:t>
      </w:r>
      <w:r>
        <w:t xml:space="preserve"> </w:t>
      </w:r>
      <w:r>
        <w:t xml:space="preserve">10</w:t>
      </w:r>
      <w:r>
        <w:t xml:space="preserve">). Mutations in this domain of</w:t>
      </w:r>
      <w:r>
        <w:t xml:space="preserve"> </w:t>
      </w:r>
      <w:r>
        <w:rPr>
          <w:i/>
        </w:rPr>
        <w:t xml:space="preserve">TIR1</w:t>
      </w:r>
      <w:r>
        <w:t xml:space="preserve"> </w:t>
      </w:r>
      <w:r>
        <w:t xml:space="preserve">frequently have a semidominant effect on root phenotypes</w:t>
      </w:r>
      <w:r>
        <w:t xml:space="preserve"> </w:t>
      </w:r>
      <w:r>
        <w:t xml:space="preserve">(Dezfulian et al.</w:t>
      </w:r>
      <w:r>
        <w:t xml:space="preserve"> </w:t>
      </w:r>
      <w:hyperlink w:anchor="ref-dezfulian_oligomerization_2016">
        <w:r>
          <w:rPr>
            <w:rStyle w:val="Hyperlink"/>
          </w:rPr>
          <w:t xml:space="preserve">2016</w:t>
        </w:r>
      </w:hyperlink>
      <w:r>
        <w:t xml:space="preserve">; Wright et al.</w:t>
      </w:r>
      <w:r>
        <w:t xml:space="preserve"> </w:t>
      </w:r>
      <w:hyperlink w:anchor="ref-wright_insights_2017">
        <w:r>
          <w:rPr>
            <w:rStyle w:val="Hyperlink"/>
          </w:rPr>
          <w:t xml:space="preserve">2017</w:t>
        </w:r>
      </w:hyperlink>
      <w:r>
        <w:t xml:space="preserve">)</w:t>
      </w:r>
      <w:r>
        <w:t xml:space="preserve">. Characterization of this allele and accession may help determine the role of</w:t>
      </w:r>
      <w:r>
        <w:t xml:space="preserve"> </w:t>
      </w:r>
      <w:r>
        <w:rPr>
          <w:i/>
        </w:rPr>
        <w:t xml:space="preserve">AFB1</w:t>
      </w:r>
      <w:r>
        <w:t xml:space="preserve"> </w:t>
      </w:r>
      <w:r>
        <w:t xml:space="preserve">in this pathway.</w:t>
      </w:r>
    </w:p>
    <w:p>
      <w:pPr>
        <w:pStyle w:val="CaptionedFigure"/>
      </w:pPr>
      <w:r>
        <w:drawing>
          <wp:inline>
            <wp:extent cx="5334000" cy="4709808"/>
            <wp:effectExtent b="0" l="0" r="0" t="0"/>
            <wp:docPr descr="Figure 10 Map of AFB1 Oligomerization domain variant accessions. (a) Map showing the two accessions with variants in the AFB1 oligomerization domain (b) The user selectable parameters of the mapping tab used to generate the map are provided as an example of using the SNP Mapping tab in the ViVa webtool. See Figure 2 for details on filling in the parameters." title="" id="1" name="Picture"/>
            <a:graphic>
              <a:graphicData uri="http://schemas.openxmlformats.org/drawingml/2006/picture">
                <pic:pic>
                  <pic:nvPicPr>
                    <pic:cNvPr descr="app_figure/Map_figure.png" id="0" name="Picture"/>
                    <pic:cNvPicPr>
                      <a:picLocks noChangeArrowheads="1" noChangeAspect="1"/>
                    </pic:cNvPicPr>
                  </pic:nvPicPr>
                  <pic:blipFill>
                    <a:blip r:embed="rId68"/>
                    <a:stretch>
                      <a:fillRect/>
                    </a:stretch>
                  </pic:blipFill>
                  <pic:spPr bwMode="auto">
                    <a:xfrm>
                      <a:off x="0" y="0"/>
                      <a:ext cx="5334000" cy="4709808"/>
                    </a:xfrm>
                    <a:prstGeom prst="rect">
                      <a:avLst/>
                    </a:prstGeom>
                    <a:noFill/>
                    <a:ln w="9525">
                      <a:noFill/>
                      <a:headEnd/>
                      <a:tailEnd/>
                    </a:ln>
                  </pic:spPr>
                </pic:pic>
              </a:graphicData>
            </a:graphic>
          </wp:inline>
        </w:drawing>
      </w:r>
    </w:p>
    <w:p>
      <w:pPr>
        <w:pStyle w:val="ImageCaption"/>
      </w:pPr>
      <w:r>
        <w:t xml:space="preserve">Figure 10</w:t>
      </w:r>
      <w:r>
        <w:t xml:space="preserve"> </w:t>
      </w:r>
      <w:r>
        <w:rPr>
          <w:b/>
        </w:rPr>
        <w:t xml:space="preserve">Map of AFB1 Oligomerization domain variant accessions.</w:t>
      </w:r>
      <w:r>
        <w:t xml:space="preserve"> </w:t>
      </w:r>
      <w:r>
        <w:t xml:space="preserve">(a) Map showing the two accessions with variants in the AFB1 oligomerization domain (b) The user selectable parameters of the mapping tab used to generate the map are provided as an example of using the SNP Mapping tab in the ViVa webtool. See Figure</w:t>
      </w:r>
      <w:r>
        <w:t xml:space="preserve"> </w:t>
      </w:r>
      <w:r>
        <w:t xml:space="preserve">2</w:t>
      </w:r>
      <w:r>
        <w:t xml:space="preserve"> </w:t>
      </w:r>
      <w:r>
        <w:t xml:space="preserve">for details on filling in the parameters.</w:t>
      </w:r>
    </w:p>
    <w:p>
      <w:pPr>
        <w:pStyle w:val="Heading2"/>
      </w:pPr>
      <w:bookmarkStart w:id="69" w:name="TPLs"/>
      <w:r>
        <w:t xml:space="preserve">Natural variation in the</w:t>
      </w:r>
      <w:r>
        <w:t xml:space="preserve"> </w:t>
      </w:r>
      <w:r>
        <w:rPr>
          <w:i/>
        </w:rPr>
        <w:t xml:space="preserve">TPL/TPR</w:t>
      </w:r>
      <w:r>
        <w:t xml:space="preserve"> </w:t>
      </w:r>
      <w:r>
        <w:t xml:space="preserve">genes</w:t>
      </w:r>
      <w:bookmarkEnd w:id="69"/>
    </w:p>
    <w:p>
      <w:pPr>
        <w:pStyle w:val="FirstParagraph"/>
      </w:pPr>
      <w:r>
        <w:t xml:space="preserve">The auxin signaling pathway utilizes the TOPLESS (TPL) and TOPLESS-related (TPR) family of Gro/TLE/TUP1 type co-repressor proteins to maintain auxin responsive genes in a transcriptionally-repressed state in the absence of auxin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In</w:t>
      </w:r>
      <w:r>
        <w:t xml:space="preserve"> </w:t>
      </w:r>
      <w:r>
        <w:rPr>
          <w:i/>
        </w:rPr>
        <w:t xml:space="preserve">Arabidopsis thaliana</w:t>
      </w:r>
      <w:r>
        <w:t xml:space="preserve"> </w:t>
      </w:r>
      <w:r>
        <w:t xml:space="preserve">the five member</w:t>
      </w:r>
      <w:r>
        <w:t xml:space="preserve"> </w:t>
      </w:r>
      <w:r>
        <w:rPr>
          <w:i/>
        </w:rPr>
        <w:t xml:space="preserve">TPL/TPR</w:t>
      </w:r>
      <w:r>
        <w:t xml:space="preserve"> </w:t>
      </w:r>
      <w:r>
        <w:t xml:space="preserve">family includes</w:t>
      </w:r>
      <w:r>
        <w:t xml:space="preserve"> </w:t>
      </w:r>
      <w:r>
        <w:rPr>
          <w:i/>
        </w:rPr>
        <w:t xml:space="preserve">TPL</w:t>
      </w:r>
      <w:r>
        <w:t xml:space="preserve"> </w:t>
      </w:r>
      <w:r>
        <w:t xml:space="preserve">and</w:t>
      </w:r>
      <w:r>
        <w:t xml:space="preserve"> </w:t>
      </w:r>
      <w:r>
        <w:rPr>
          <w:i/>
        </w:rPr>
        <w:t xml:space="preserve">TPR1-4</w:t>
      </w:r>
      <w:r>
        <w:t xml:space="preserve">. The resulting proteins are comprised of three structural domains: an N-terminal TPL domain and two WD-40 domains</w:t>
      </w:r>
      <w:r>
        <w:t xml:space="preserve"> </w:t>
      </w:r>
      <w:r>
        <w:t xml:space="preserve">(Long et al.</w:t>
      </w:r>
      <w:r>
        <w:t xml:space="preserve"> </w:t>
      </w:r>
      <w:hyperlink w:anchor="ref-long_topless_2006">
        <w:r>
          <w:rPr>
            <w:rStyle w:val="Hyperlink"/>
          </w:rPr>
          <w:t xml:space="preserve">2006</w:t>
        </w:r>
      </w:hyperlink>
      <w:r>
        <w:t xml:space="preserve">)</w:t>
      </w:r>
      <w:r>
        <w:t xml:space="preserve">. TPL/TPR proteins are recruited to the AUX/IAA proteins through interaction with the conserved Ethylene-responsive element binding factor-associated amphiphilic repression (EAR) domain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Canonical EAR domains have the amino acid sequence LxLxL, as found in most AUX/IAAs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TPL/TPR co-repressors bind EAR domains via their C-terminal to LisH (CTLH) domains found near their N-termini</w:t>
      </w:r>
      <w:r>
        <w:t xml:space="preserve"> </w:t>
      </w:r>
      <w:r>
        <w:t xml:space="preserve">(Long et al.</w:t>
      </w:r>
      <w:r>
        <w:t xml:space="preserve"> </w:t>
      </w:r>
      <w:hyperlink w:anchor="ref-long_topless_2006">
        <w:r>
          <w:rPr>
            <w:rStyle w:val="Hyperlink"/>
          </w:rPr>
          <w:t xml:space="preserve">2006</w:t>
        </w:r>
      </w:hyperlink>
      <w:r>
        <w:t xml:space="preserve">)</w:t>
      </w:r>
      <w:r>
        <w:t xml:space="preserve">. Recent structural analyses of the TPL N-terminal domain have highlighted the precise interaction interface between TPL and AUX/IAA EAR domains, as well as the TPL-TPL dimerization and tetramerization motifs</w:t>
      </w:r>
      <w:r>
        <w:t xml:space="preserve"> </w:t>
      </w:r>
      <w:r>
        <w:t xml:space="preserve">(Martin-Arevalillo et al.</w:t>
      </w:r>
      <w:r>
        <w:t xml:space="preserve"> </w:t>
      </w:r>
      <w:hyperlink w:anchor="ref-martin-arevalillo_structure_2017">
        <w:r>
          <w:rPr>
            <w:rStyle w:val="Hyperlink"/>
          </w:rPr>
          <w:t xml:space="preserve">2017</w:t>
        </w:r>
      </w:hyperlink>
      <w:r>
        <w:t xml:space="preserve">; Ke et al.</w:t>
      </w:r>
      <w:r>
        <w:t xml:space="preserve"> </w:t>
      </w:r>
      <w:hyperlink w:anchor="ref-ke_structural_2015">
        <w:r>
          <w:rPr>
            <w:rStyle w:val="Hyperlink"/>
          </w:rPr>
          <w:t xml:space="preserve">2015</w:t>
        </w:r>
      </w:hyperlink>
      <w:r>
        <w:t xml:space="preserve">)</w:t>
      </w:r>
      <w:r>
        <w:t xml:space="preserve">. The residues required for higher-order multimers of TPL tetramers have also been identified</w:t>
      </w:r>
      <w:r>
        <w:t xml:space="preserve"> </w:t>
      </w:r>
      <w:r>
        <w:t xml:space="preserve">(Ma et al.</w:t>
      </w:r>
      <w:r>
        <w:t xml:space="preserve"> </w:t>
      </w:r>
      <w:hyperlink w:anchor="ref-ma_d53_2017">
        <w:r>
          <w:rPr>
            <w:rStyle w:val="Hyperlink"/>
          </w:rPr>
          <w:t xml:space="preserve">2017</w:t>
        </w:r>
      </w:hyperlink>
      <w:r>
        <w:t xml:space="preserve">)</w:t>
      </w:r>
      <w:r>
        <w:t xml:space="preserve">. Additional interactions with transcriptional regulation and chromatin modifying machinery are likely mediated by two tandem beta propeller domains of TPL/TPRs.</w:t>
      </w:r>
    </w:p>
    <w:p>
      <w:pPr>
        <w:pStyle w:val="BodyText"/>
      </w:pPr>
      <w:r>
        <w:t xml:space="preserve">The TOPLESS co-repressor family generally exhibits a high level of sequence conservation at the amino acid sequence level across resequenced</w:t>
      </w:r>
      <w:r>
        <w:t xml:space="preserve"> </w:t>
      </w:r>
      <w:r>
        <w:rPr>
          <w:i/>
        </w:rPr>
        <w:t xml:space="preserve">Arabidopsis thaliana</w:t>
      </w:r>
      <w:r>
        <w:t xml:space="preserve"> </w:t>
      </w:r>
      <w:r>
        <w:t xml:space="preserve">accessions, with all</w:t>
      </w:r>
      <w:r>
        <w:t xml:space="preserve"> </w:t>
      </w:r>
      <m:oMath>
        <m:sSub>
          <m:e>
            <m:r>
              <m:t>π</m:t>
            </m:r>
          </m:e>
          <m:sub>
            <m:r>
              <m:t>N</m:t>
            </m:r>
          </m:sub>
        </m:sSub>
        <m:r>
          <m:t>/</m:t>
        </m:r>
        <m:sSub>
          <m:e>
            <m:r>
              <m:t>π</m:t>
            </m:r>
          </m:e>
          <m:sub>
            <m:r>
              <m:t>S</m:t>
            </m:r>
          </m:sub>
        </m:sSub>
      </m:oMath>
      <w:r>
        <w:t xml:space="preserve"> </w:t>
      </w:r>
      <w:r>
        <w:t xml:space="preserve">values below 1 (Figure</w:t>
      </w:r>
      <w:r>
        <w:t xml:space="preserve"> </w:t>
      </w:r>
      <w:r>
        <w:t xml:space="preserve">11</w:t>
      </w:r>
      <w:r>
        <w:t xml:space="preserve">). The closely related</w:t>
      </w:r>
      <w:r>
        <w:t xml:space="preserve"> </w:t>
      </w:r>
      <w:r>
        <w:rPr>
          <w:i/>
        </w:rPr>
        <w:t xml:space="preserve">TPL</w:t>
      </w:r>
      <w:r>
        <w:t xml:space="preserve"> </w:t>
      </w:r>
      <w:r>
        <w:t xml:space="preserve">and</w:t>
      </w:r>
      <w:r>
        <w:t xml:space="preserve"> </w:t>
      </w:r>
      <w:r>
        <w:rPr>
          <w:i/>
        </w:rPr>
        <w:t xml:space="preserve">TPR1</w:t>
      </w:r>
      <w:r>
        <w:t xml:space="preserve"> </w:t>
      </w:r>
      <w:r>
        <w:t xml:space="preserve">have the highest</w:t>
      </w:r>
      <w:r>
        <w:t xml:space="preserve"> </w:t>
      </w:r>
      <m:oMath>
        <m:sSub>
          <m:e>
            <m:r>
              <m:t>π</m:t>
            </m:r>
          </m:e>
          <m:sub>
            <m:r>
              <m:t>N</m:t>
            </m:r>
          </m:sub>
        </m:sSub>
        <m:r>
          <m:t>/</m:t>
        </m:r>
        <m:sSub>
          <m:e>
            <m:r>
              <m:t>π</m:t>
            </m:r>
          </m:e>
          <m:sub>
            <m:r>
              <m:t>S</m:t>
            </m:r>
          </m:sub>
        </m:sSub>
      </m:oMath>
      <w:r>
        <w:t xml:space="preserve"> </w:t>
      </w:r>
      <w:r>
        <w:t xml:space="preserve">values, suggesting that these these two related genes tolerate a higher degree of sequence and potentially functional diversity compared to</w:t>
      </w:r>
      <w:r>
        <w:t xml:space="preserve"> </w:t>
      </w:r>
      <w:r>
        <w:rPr>
          <w:i/>
        </w:rPr>
        <w:t xml:space="preserve">TPR2/3/4</w:t>
      </w:r>
      <w:r>
        <w:t xml:space="preserve">. The N-terminal TPL domain of the TPL/TPR family is particularly conserved. All nonsynonymous polymorphisms observed in this region are either in the coils between helices or are highly conservative mutations within helices (i.e. valine to isoleucine), which would be predicted to exhibit little effect on folding and function.</w:t>
      </w:r>
    </w:p>
    <w:p>
      <w:pPr>
        <w:pStyle w:val="CaptionedFigure"/>
      </w:pPr>
      <w:r>
        <w:drawing>
          <wp:inline>
            <wp:extent cx="5334000" cy="3048000"/>
            <wp:effectExtent b="0" l="0" r="0" t="0"/>
            <wp:docPr descr="Figure 11 TPL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TPLtree-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11</w:t>
      </w:r>
      <w:r>
        <w:t xml:space="preserve"> </w:t>
      </w:r>
      <w:r>
        <w:rPr>
          <w:b/>
        </w:rPr>
        <w:t xml:space="preserve">TPL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The high degree of conservation in the entire N-terminal domain underscores its importance in TPL/TPR function (Figure</w:t>
      </w:r>
      <w:r>
        <w:t xml:space="preserve"> </w:t>
      </w:r>
      <w:r>
        <w:t xml:space="preserve">12</w:t>
      </w:r>
      <w:r>
        <w:t xml:space="preserve">). For example, the initial</w:t>
      </w:r>
      <w:r>
        <w:t xml:space="preserve"> </w:t>
      </w:r>
      <w:r>
        <w:rPr>
          <w:i/>
        </w:rPr>
        <w:t xml:space="preserve">tpl-1</w:t>
      </w:r>
      <w:r>
        <w:t xml:space="preserve"> </w:t>
      </w:r>
      <w:r>
        <w:t xml:space="preserve">mutation (N176H) in the ninth helix is a dominant gain-of-function allele</w:t>
      </w:r>
      <w:r>
        <w:t xml:space="preserve"> </w:t>
      </w:r>
      <w:r>
        <w:t xml:space="preserve">(Long et al.</w:t>
      </w:r>
      <w:r>
        <w:t xml:space="preserve"> </w:t>
      </w:r>
      <w:hyperlink w:anchor="ref-long_topless_2006">
        <w:r>
          <w:rPr>
            <w:rStyle w:val="Hyperlink"/>
          </w:rPr>
          <w:t xml:space="preserve">2006</w:t>
        </w:r>
      </w:hyperlink>
      <w:r>
        <w:t xml:space="preserve">)</w:t>
      </w:r>
      <w:r>
        <w:t xml:space="preserve">, which is capable of binding wild-type TPL protein and inducing protein aggregation</w:t>
      </w:r>
      <w:r>
        <w:t xml:space="preserve"> </w:t>
      </w:r>
      <w:r>
        <w:t xml:space="preserve">(Ma et al.</w:t>
      </w:r>
      <w:r>
        <w:t xml:space="preserve"> </w:t>
      </w:r>
      <w:hyperlink w:anchor="ref-ma_d53_2017">
        <w:r>
          <w:rPr>
            <w:rStyle w:val="Hyperlink"/>
          </w:rPr>
          <w:t xml:space="preserve">2017</w:t>
        </w:r>
      </w:hyperlink>
      <w:r>
        <w:t xml:space="preserve">)</w:t>
      </w:r>
      <w:r>
        <w:t xml:space="preserve">. It is therefore understandable that this helix had very low diversity as nonsynonymous variants in this domain could act in a dominant negative fashion.</w:t>
      </w:r>
    </w:p>
    <w:p>
      <w:pPr>
        <w:pStyle w:val="CaptionedFigure"/>
      </w:pPr>
      <w:r>
        <w:drawing>
          <wp:inline>
            <wp:extent cx="5334000" cy="3048000"/>
            <wp:effectExtent b="0" l="0" r="0" t="0"/>
            <wp:docPr descr="Figure 12 Alignment of the TPL/TPR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TPLs-alignment-1.png" id="0" name="Picture"/>
                    <pic:cNvPicPr>
                      <a:picLocks noChangeArrowheads="1" noChangeAspect="1"/>
                    </pic:cNvPicPr>
                  </pic:nvPicPr>
                  <pic:blipFill>
                    <a:blip r:embed="rId7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12</w:t>
      </w:r>
      <w:r>
        <w:t xml:space="preserve"> </w:t>
      </w:r>
      <w:r>
        <w:rPr>
          <w:b/>
        </w:rPr>
        <w:t xml:space="preserve">Alignment of the TPL/TPR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Heading2"/>
      </w:pPr>
      <w:bookmarkStart w:id="72" w:name="ARFs"/>
      <w:r>
        <w:t xml:space="preserve">Natural Variation in the</w:t>
      </w:r>
      <w:r>
        <w:t xml:space="preserve"> </w:t>
      </w:r>
      <w:r>
        <w:rPr>
          <w:i/>
        </w:rPr>
        <w:t xml:space="preserve">ARF</w:t>
      </w:r>
      <w:r>
        <w:t xml:space="preserve"> </w:t>
      </w:r>
      <w:r>
        <w:t xml:space="preserve">genes</w:t>
      </w:r>
      <w:bookmarkEnd w:id="72"/>
    </w:p>
    <w:p>
      <w:pPr>
        <w:pStyle w:val="FirstParagraph"/>
      </w:pPr>
      <w:r>
        <w:t xml:space="preserve">Auxin response is mediated by the auxin responsive transcription factors (ARFs). There are 23</w:t>
      </w:r>
      <w:r>
        <w:t xml:space="preserve"> </w:t>
      </w:r>
      <w:r>
        <w:rPr>
          <w:i/>
        </w:rPr>
        <w:t xml:space="preserve">ARF</w:t>
      </w:r>
      <w:r>
        <w:t xml:space="preserve">s in</w:t>
      </w:r>
      <w:r>
        <w:t xml:space="preserve"> </w:t>
      </w:r>
      <w:r>
        <w:rPr>
          <w:i/>
        </w:rPr>
        <w:t xml:space="preserve">Arabidopsis thaliana</w:t>
      </w:r>
      <w:r>
        <w:t xml:space="preserve"> </w:t>
      </w:r>
      <w:r>
        <w:t xml:space="preserve">that are divided into three phylogenetic classes. Class A ARFs (ARF5, ARF6, ARF7, ARF8 and ARF19) activate transcription. These ARFs have a glutamine-rich region in the middle of the protein that may mediate activation</w:t>
      </w:r>
      <w:r>
        <w:t xml:space="preserve"> </w:t>
      </w:r>
      <w:r>
        <w:t xml:space="preserve">(Guilfoyle and Hagen</w:t>
      </w:r>
      <w:r>
        <w:t xml:space="preserve"> </w:t>
      </w:r>
      <w:hyperlink w:anchor="ref-guilfoyle_auxin_2007">
        <w:r>
          <w:rPr>
            <w:rStyle w:val="Hyperlink"/>
          </w:rPr>
          <w:t xml:space="preserve">2007</w:t>
        </w:r>
      </w:hyperlink>
      <w:r>
        <w:t xml:space="preserve">)</w:t>
      </w:r>
      <w:r>
        <w:t xml:space="preserve">. It has recently been shown that the middle region of ARF5 interacts with the SWI/SNF chromatin remodeling ATPases BRAMA and SPLAYED, possibly to reduce nucleosome occupancy and allow for the recruitment of transcription machinery</w:t>
      </w:r>
      <w:r>
        <w:t xml:space="preserve"> </w:t>
      </w:r>
      <w:r>
        <w:t xml:space="preserve">(Wu et al.</w:t>
      </w:r>
      <w:r>
        <w:t xml:space="preserve"> </w:t>
      </w:r>
      <w:hyperlink w:anchor="ref-wu_auxinregulated_2015">
        <w:r>
          <w:rPr>
            <w:rStyle w:val="Hyperlink"/>
          </w:rPr>
          <w:t xml:space="preserve">2015</w:t>
        </w:r>
      </w:hyperlink>
      <w:r>
        <w:t xml:space="preserve">)</w:t>
      </w:r>
      <w:r>
        <w:t xml:space="preserve">. Additionally, ARF7 interacts with Mediator subunits, directly tethering transcriptional activation machinery to its binding sites in the chromosome</w:t>
      </w:r>
      <w:r>
        <w:t xml:space="preserve"> </w:t>
      </w:r>
      <w:r>
        <w:t xml:space="preserve">(Ito et al.</w:t>
      </w:r>
      <w:r>
        <w:t xml:space="preserve"> </w:t>
      </w:r>
      <w:hyperlink w:anchor="ref-ito_auxindependent_2016">
        <w:r>
          <w:rPr>
            <w:rStyle w:val="Hyperlink"/>
          </w:rPr>
          <w:t xml:space="preserve">2016</w:t>
        </w:r>
      </w:hyperlink>
      <w:r>
        <w:t xml:space="preserve">)</w:t>
      </w:r>
      <w:r>
        <w:t xml:space="preserve">. Class B and C</w:t>
      </w:r>
      <w:r>
        <w:t xml:space="preserve"> </w:t>
      </w:r>
      <w:r>
        <w:rPr>
          <w:i/>
        </w:rPr>
        <w:t xml:space="preserve">ARF</w:t>
      </w:r>
      <w:r>
        <w:t xml:space="preserve">s are historically categorized as repressor</w:t>
      </w:r>
      <w:r>
        <w:t xml:space="preserve"> </w:t>
      </w:r>
      <w:r>
        <w:rPr>
          <w:i/>
        </w:rPr>
        <w:t xml:space="preserve">ARF</w:t>
      </w:r>
      <w:r>
        <w:t xml:space="preserve">s, though the mechanism through which they confer repression has not been identified. Their middle regions tend to be proline- and serine-rich.</w:t>
      </w:r>
    </w:p>
    <w:p>
      <w:pPr>
        <w:pStyle w:val="BodyText"/>
      </w:pPr>
      <w:r>
        <w:t xml:space="preserve">Canonical ARFs are comprised of three major domains. Recent crystallization of these domains have informed structure-function analysis of the ARFs</w:t>
      </w:r>
      <w:r>
        <w:t xml:space="preserve"> </w:t>
      </w:r>
      <w:r>
        <w:t xml:space="preserve">(Boer et al.</w:t>
      </w:r>
      <w:r>
        <w:t xml:space="preserve"> </w:t>
      </w:r>
      <w:hyperlink w:anchor="ref-boer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These domains are conserved throughout land plants</w:t>
      </w:r>
      <w:r>
        <w:t xml:space="preserve"> </w:t>
      </w:r>
      <w:r>
        <w:t xml:space="preserve">(Mutte et al.</w:t>
      </w:r>
      <w:r>
        <w:t xml:space="preserve"> </w:t>
      </w:r>
      <w:hyperlink w:anchor="ref-mutte_origin_2018">
        <w:r>
          <w:rPr>
            <w:rStyle w:val="Hyperlink"/>
          </w:rPr>
          <w:t xml:space="preserve">2018</w:t>
        </w:r>
      </w:hyperlink>
      <w:r>
        <w:t xml:space="preserve">)</w:t>
      </w:r>
      <w:r>
        <w:t xml:space="preserve">. ARFs share an N-terminal B3 DNA binding domain. Flanking this DNA-binding domain is a dimerization domain, which folds up into a single</w:t>
      </w:r>
      <w:r>
        <w:t xml:space="preserve"> </w:t>
      </w:r>
      <w:r>
        <w:t xml:space="preserve">“</w:t>
      </w:r>
      <w:r>
        <w:t xml:space="preserve">taco-shaped</w:t>
      </w:r>
      <w:r>
        <w:t xml:space="preserve">”</w:t>
      </w:r>
      <w:r>
        <w:t xml:space="preserve"> </w:t>
      </w:r>
      <w:r>
        <w:t xml:space="preserve">domain to allow for dimerization between ARFs. There is an auxiliary domain that immediately follows and interacts with the dimerization domain. The middle region is the most variable between ARFs, as mentioned above, but is characterized by repetitive units of glutamine (class A), serine, or proline residues (classes B and C). The C-terminal domain of canonical ARFs is a PB1 protein-protein interaction domain mediating interactions among ARFs, between ARFs and other transcription factors, and between ARFs and the Aux/IAA repressors. This interaction domain was recently characterized as a Phox and Bem1 (PB1) domain, which is comprised of a positive and negative face with conserved basic and acidic residues, respectively</w:t>
      </w:r>
      <w:r>
        <w:t xml:space="preserve"> </w:t>
      </w:r>
      <w:r>
        <w:t xml:space="preserve">(Korasick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 dipolar nature of the PB1 domain may mediate multimerization by the pairwise interaction of these faces on different proteins as the ARF7 PB1 domain was crystallized as a multimer</w:t>
      </w:r>
      <w:r>
        <w:t xml:space="preserve"> </w:t>
      </w:r>
      <w:r>
        <w:t xml:space="preserve">(Korasick et al.</w:t>
      </w:r>
      <w:r>
        <w:t xml:space="preserve"> </w:t>
      </w:r>
      <w:hyperlink w:anchor="ref-korasick_molecular_2014">
        <w:r>
          <w:rPr>
            <w:rStyle w:val="Hyperlink"/>
          </w:rPr>
          <w:t xml:space="preserve">2014</w:t>
        </w:r>
      </w:hyperlink>
      <w:r>
        <w:t xml:space="preserve">)</w:t>
      </w:r>
      <w:r>
        <w:t xml:space="preserve">. However, it is unclear whether ARF multimerization occurs or plays a significant role</w:t>
      </w:r>
      <w:r>
        <w:t xml:space="preserve"> </w:t>
      </w:r>
      <w:r>
        <w:rPr>
          <w:i/>
        </w:rPr>
        <w:t xml:space="preserve">in vivo</w:t>
      </w:r>
      <w:r>
        <w:t xml:space="preserve">. Interfering with ARF dimerization in either the DNA-binding proximal dimerization domain or the PB1 domain decreases the ability of class A ARFs to activate transcription in a heterologous yeast system</w:t>
      </w:r>
      <w:r>
        <w:t xml:space="preserve"> </w:t>
      </w:r>
      <w:r>
        <w:t xml:space="preserve">(Pierre-Jerome et al.</w:t>
      </w:r>
      <w:r>
        <w:t xml:space="preserve"> </w:t>
      </w:r>
      <w:hyperlink w:anchor="ref-pierre-jerome_functional_2016">
        <w:r>
          <w:rPr>
            <w:rStyle w:val="Hyperlink"/>
          </w:rPr>
          <w:t xml:space="preserve">2016</w:t>
        </w:r>
      </w:hyperlink>
      <w:r>
        <w:t xml:space="preserve">)</w:t>
      </w:r>
      <w:r>
        <w:t xml:space="preserve">.</w:t>
      </w:r>
    </w:p>
    <w:p>
      <w:pPr>
        <w:pStyle w:val="BodyText"/>
      </w:pPr>
      <w:r>
        <w:t xml:space="preserve">While domain architecture is broadly conserved among the ARFs, there are exceptional cases. Three ARFs do not contain a PB1 domain at all, ARF3, ARF13, and ARF17, and several more have lost the conserved acidic or basic residues in the PB1 domain, suggesting they may be reduced to a single interaction domain. Several ARFs additionally have an expanded conserved region within the DNA-binding domain, of unknown function. The majority of domain variation among ARFs occurs in the large B-class subfamily. The liverwort</w:t>
      </w:r>
      <w:r>
        <w:t xml:space="preserve"> </w:t>
      </w:r>
      <w:r>
        <w:rPr>
          <w:i/>
        </w:rPr>
        <w:t xml:space="preserve">Marchantia polymorpha</w:t>
      </w:r>
      <w:r>
        <w:t xml:space="preserve"> </w:t>
      </w:r>
      <w:r>
        <w:t xml:space="preserve">has a single representative ARF of each class</w:t>
      </w:r>
      <w:r>
        <w:t xml:space="preserve"> </w:t>
      </w:r>
      <w:r>
        <w:t xml:space="preserve">(Flores-Sandoval, Eklund, and Bowman</w:t>
      </w:r>
      <w:r>
        <w:t xml:space="preserve"> </w:t>
      </w:r>
      <w:hyperlink w:anchor="ref-flores-sandoval_simple_2015">
        <w:r>
          <w:rPr>
            <w:rStyle w:val="Hyperlink"/>
          </w:rPr>
          <w:t xml:space="preserve">2015</w:t>
        </w:r>
      </w:hyperlink>
      <w:r>
        <w:t xml:space="preserve">)</w:t>
      </w:r>
      <w:r>
        <w:t xml:space="preserve">. The expansion of these classes in flowering plants is the result of both whole genome and tandem duplication events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growth of the ARF family may have allowed for the expansion of the quantity and complexity of loci regulated by the ARFs and subsequent expansion in their regulation of developmental processes</w:t>
      </w:r>
      <w:r>
        <w:t xml:space="preserve"> </w:t>
      </w:r>
      <w:r>
        <w:t xml:space="preserve">(Mutte et al.</w:t>
      </w:r>
      <w:r>
        <w:t xml:space="preserve"> </w:t>
      </w:r>
      <w:hyperlink w:anchor="ref-mutte_origin_2018">
        <w:r>
          <w:rPr>
            <w:rStyle w:val="Hyperlink"/>
          </w:rPr>
          <w:t xml:space="preserve">2018</w:t>
        </w:r>
      </w:hyperlink>
      <w:r>
        <w:t xml:space="preserve">)</w:t>
      </w:r>
      <w:r>
        <w:t xml:space="preserve">.</w:t>
      </w:r>
    </w:p>
    <w:p>
      <w:pPr>
        <w:pStyle w:val="BodyText"/>
      </w:pPr>
      <w:r>
        <w:t xml:space="preserve">Class A ARFs are the most well-studied ARF subfamily—the five family members all act as transcriptional activators and have well-characterized, distinct developmental targets. Overall the diversity of class A</w:t>
      </w:r>
      <w:r>
        <w:t xml:space="preserve"> </w:t>
      </w:r>
      <w:r>
        <w:rPr>
          <w:i/>
        </w:rPr>
        <w:t xml:space="preserve">ARF</w:t>
      </w:r>
      <w:r>
        <w:t xml:space="preserve">s was generally low, especially compared to the class B and C</w:t>
      </w:r>
      <w:r>
        <w:t xml:space="preserve"> </w:t>
      </w:r>
      <w:r>
        <w:rPr>
          <w:i/>
        </w:rPr>
        <w:t xml:space="preserve">ARF</w:t>
      </w:r>
      <w:r>
        <w:t xml:space="preserve">s (Figure</w:t>
      </w:r>
      <w:r>
        <w:t xml:space="preserve"> </w:t>
      </w:r>
      <w:r>
        <w:t xml:space="preserve">13</w:t>
      </w:r>
      <w:r>
        <w:t xml:space="preserve">), suggesting that class A</w:t>
      </w:r>
      <w:r>
        <w:t xml:space="preserve"> </w:t>
      </w:r>
      <w:r>
        <w:rPr>
          <w:i/>
        </w:rPr>
        <w:t xml:space="preserve">ARF</w:t>
      </w:r>
      <w:r>
        <w:t xml:space="preserve">s are central to auxin signal transduction and plant development. Analysis of class A</w:t>
      </w:r>
      <w:r>
        <w:t xml:space="preserve"> </w:t>
      </w:r>
      <w:r>
        <w:rPr>
          <w:i/>
        </w:rPr>
        <w:t xml:space="preserve">ARF</w:t>
      </w:r>
      <w:r>
        <w:t xml:space="preserve"> </w:t>
      </w:r>
      <w:r>
        <w:t xml:space="preserve">nonsynonymous diversity suggests that the majority of these</w:t>
      </w:r>
      <w:r>
        <w:t xml:space="preserve"> </w:t>
      </w:r>
      <w:r>
        <w:rPr>
          <w:i/>
        </w:rPr>
        <w:t xml:space="preserve">ARF</w:t>
      </w:r>
      <w:r>
        <w:t xml:space="preserve">s are highly functionally conserved, with</w:t>
      </w:r>
      <w:r>
        <w:t xml:space="preserve"> </w:t>
      </w:r>
      <m:oMath>
        <m:sSub>
          <m:e>
            <m:r>
              <m:t>π</m:t>
            </m:r>
          </m:e>
          <m:sub>
            <m:r>
              <m:t>N</m:t>
            </m:r>
          </m:sub>
        </m:sSub>
        <m:r>
          <m:t>/</m:t>
        </m:r>
        <m:sSub>
          <m:e>
            <m:r>
              <m:t>π</m:t>
            </m:r>
          </m:e>
          <m:sub>
            <m:r>
              <m:t>S</m:t>
            </m:r>
          </m:sub>
        </m:sSub>
      </m:oMath>
      <w:r>
        <w:t xml:space="preserve"> </w:t>
      </w:r>
      <w:r>
        <w:t xml:space="preserve">values much lower than 1 with the exception of</w:t>
      </w:r>
      <w:r>
        <w:t xml:space="preserve"> </w:t>
      </w:r>
      <w:r>
        <w:rPr>
          <w:i/>
        </w:rPr>
        <w:t xml:space="preserve">ARF19</w:t>
      </w:r>
      <w:r>
        <w:t xml:space="preserve">, with</w:t>
      </w:r>
      <w:r>
        <w:t xml:space="preserve"> </w:t>
      </w:r>
      <m:oMath>
        <m:sSub>
          <m:e>
            <m:r>
              <m:t>π</m:t>
            </m:r>
          </m:e>
          <m:sub>
            <m:r>
              <m:t>N</m:t>
            </m:r>
          </m:sub>
        </m:sSub>
        <m:r>
          <m:t>/</m:t>
        </m:r>
        <m:sSub>
          <m:e>
            <m:r>
              <m:t>π</m:t>
            </m:r>
          </m:e>
          <m:sub>
            <m:r>
              <m:t>S</m:t>
            </m:r>
          </m:sub>
        </m:sSub>
      </m:oMath>
      <w:r>
        <w:t xml:space="preserve"> </w:t>
      </w:r>
      <w:r>
        <w:t xml:space="preserve">value of 1.8. Comparing diversity within sister pairs, there is a similar trade-off as seen in most</w:t>
      </w:r>
      <w:r>
        <w:t xml:space="preserve"> </w:t>
      </w:r>
      <w:r>
        <w:rPr>
          <w:i/>
        </w:rPr>
        <w:t xml:space="preserve">IAA</w:t>
      </w:r>
      <w:r>
        <w:t xml:space="preserve"> </w:t>
      </w:r>
      <w:r>
        <w:t xml:space="preserve">sister pairs, with one sister being highly conserved and the other more divergent.</w:t>
      </w:r>
      <w:r>
        <w:t xml:space="preserve"> </w:t>
      </w:r>
      <w:r>
        <w:rPr>
          <w:i/>
        </w:rPr>
        <w:t xml:space="preserve">ARF19</w:t>
      </w:r>
      <w:r>
        <w:t xml:space="preserve"> </w:t>
      </w:r>
      <w:r>
        <w:t xml:space="preserve">and</w:t>
      </w:r>
      <w:r>
        <w:t xml:space="preserve"> </w:t>
      </w:r>
      <w:r>
        <w:rPr>
          <w:i/>
        </w:rPr>
        <w:t xml:space="preserve">ARF8</w:t>
      </w:r>
      <w:r>
        <w:t xml:space="preserve"> </w:t>
      </w:r>
      <w:r>
        <w:t xml:space="preserve">are the more divergent class A</w:t>
      </w:r>
      <w:r>
        <w:t xml:space="preserve"> </w:t>
      </w:r>
      <w:r>
        <w:rPr>
          <w:i/>
        </w:rPr>
        <w:t xml:space="preserve">ARFs</w:t>
      </w:r>
      <w:r>
        <w:t xml:space="preserve">, with</w:t>
      </w:r>
      <w:r>
        <w:t xml:space="preserve"> </w:t>
      </w:r>
      <m:oMath>
        <m:sSub>
          <m:e>
            <m:r>
              <m:t>π</m:t>
            </m:r>
          </m:e>
          <m:sub>
            <m:r>
              <m:t>N</m:t>
            </m:r>
          </m:sub>
        </m:sSub>
        <m:r>
          <m:t>/</m:t>
        </m:r>
        <m:sSub>
          <m:e>
            <m:r>
              <m:t>π</m:t>
            </m:r>
          </m:e>
          <m:sub>
            <m:r>
              <m:t>S</m:t>
            </m:r>
          </m:sub>
        </m:sSub>
      </m:oMath>
      <w:r>
        <w:t xml:space="preserve"> </w:t>
      </w:r>
      <w:r>
        <w:t xml:space="preserve">values at least three time those of their sisters,</w:t>
      </w:r>
      <w:r>
        <w:t xml:space="preserve"> </w:t>
      </w:r>
      <w:r>
        <w:rPr>
          <w:i/>
        </w:rPr>
        <w:t xml:space="preserve">ARF7</w:t>
      </w:r>
      <w:r>
        <w:t xml:space="preserve"> </w:t>
      </w:r>
      <w:r>
        <w:t xml:space="preserve">and</w:t>
      </w:r>
      <w:r>
        <w:t xml:space="preserve"> </w:t>
      </w:r>
      <w:r>
        <w:rPr>
          <w:i/>
        </w:rPr>
        <w:t xml:space="preserve">ARF6</w:t>
      </w:r>
      <w:r>
        <w:t xml:space="preserve"> </w:t>
      </w:r>
      <w:r>
        <w:t xml:space="preserve">respectively. This may suggest that ARF6 and ARF7 serve more essential purposes in plant development.</w:t>
      </w:r>
    </w:p>
    <w:p>
      <w:pPr>
        <w:pStyle w:val="CaptionedFigure"/>
      </w:pPr>
      <w:r>
        <w:drawing>
          <wp:inline>
            <wp:extent cx="5334000" cy="3048000"/>
            <wp:effectExtent b="0" l="0" r="0" t="0"/>
            <wp:docPr descr="Figure 13 ARF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ARFtree-1.png" id="0" name="Picture"/>
                    <pic:cNvPicPr>
                      <a:picLocks noChangeArrowheads="1" noChangeAspect="1"/>
                    </pic:cNvPicPr>
                  </pic:nvPicPr>
                  <pic:blipFill>
                    <a:blip r:embed="rId7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13</w:t>
      </w:r>
      <w:r>
        <w:t xml:space="preserve"> </w:t>
      </w:r>
      <w:r>
        <w:rPr>
          <w:b/>
        </w:rPr>
        <w:t xml:space="preserve">ARF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For all class A</w:t>
      </w:r>
      <w:r>
        <w:t xml:space="preserve"> </w:t>
      </w:r>
      <w:r>
        <w:rPr>
          <w:i/>
        </w:rPr>
        <w:t xml:space="preserve">ARF</w:t>
      </w:r>
      <w:r>
        <w:t xml:space="preserve">s, the middle region of the protein was the predominant high diversity region (Figure</w:t>
      </w:r>
      <w:r>
        <w:t xml:space="preserve"> </w:t>
      </w:r>
      <w:r>
        <w:t xml:space="preserve">14</w:t>
      </w:r>
      <w:r>
        <w:t xml:space="preserve">). In the analyzed natural variation, ARF7 had several expansions of polyglutamine sequences in the middle region. Polyglutamine regions are known to readily expand and contract throughout evolutionary time due to replication error, and variation in polyglutamine length can have phenotypic consequences and be acted on by natural selection</w:t>
      </w:r>
      <w:r>
        <w:t xml:space="preserve"> </w:t>
      </w:r>
      <w:r>
        <w:t xml:space="preserve">(Press, Carlson, and Queitsch</w:t>
      </w:r>
      <w:r>
        <w:t xml:space="preserve"> </w:t>
      </w:r>
      <w:hyperlink w:anchor="ref-press_overdue_2014">
        <w:r>
          <w:rPr>
            <w:rStyle w:val="Hyperlink"/>
          </w:rPr>
          <w:t xml:space="preserve">2014</w:t>
        </w:r>
      </w:hyperlink>
      <w:r>
        <w:t xml:space="preserve">)</w:t>
      </w:r>
      <w:r>
        <w:t xml:space="preserve">. The ARF DNA-binding domain had very few, low-diversity missense mutations, as did the critical residues of the PB1 domain. Considering the necessity of their conserved functions, the low level of variation in these key DNA and protein-protein interaction domains is expected.</w:t>
      </w:r>
    </w:p>
    <w:p>
      <w:pPr>
        <w:pStyle w:val="CaptionedFigure"/>
      </w:pPr>
      <w:r>
        <w:drawing>
          <wp:inline>
            <wp:extent cx="5334000" cy="6096000"/>
            <wp:effectExtent b="0" l="0" r="0" t="0"/>
            <wp:docPr descr="Figure 14 Alignment of the full ARF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RFs-alignment-1.png" id="0" name="Picture"/>
                    <pic:cNvPicPr>
                      <a:picLocks noChangeArrowheads="1" noChangeAspect="1"/>
                    </pic:cNvPicPr>
                  </pic:nvPicPr>
                  <pic:blipFill>
                    <a:blip r:embed="rId7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14</w:t>
      </w:r>
      <w:r>
        <w:t xml:space="preserve"> </w:t>
      </w:r>
      <w:r>
        <w:rPr>
          <w:b/>
        </w:rPr>
        <w:t xml:space="preserve">Alignment of the full ARF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Many of the class B</w:t>
      </w:r>
      <w:r>
        <w:t xml:space="preserve"> </w:t>
      </w:r>
      <w:r>
        <w:rPr>
          <w:i/>
        </w:rPr>
        <w:t xml:space="preserve">ARF</w:t>
      </w:r>
      <w:r>
        <w:t xml:space="preserve">s have very high</w:t>
      </w:r>
      <w:r>
        <w:t xml:space="preserve"> </w:t>
      </w:r>
      <m:oMath>
        <m:sSub>
          <m:e>
            <m:r>
              <m:t>π</m:t>
            </m:r>
          </m:e>
          <m:sub>
            <m:r>
              <m:t>N</m:t>
            </m:r>
          </m:sub>
        </m:sSub>
        <m:r>
          <m:t>/</m:t>
        </m:r>
        <m:sSub>
          <m:e>
            <m:r>
              <m:t>π</m:t>
            </m:r>
          </m:e>
          <m:sub>
            <m:r>
              <m:t>S</m:t>
            </m:r>
          </m:sub>
        </m:sSub>
      </m:oMath>
      <w:r>
        <w:t xml:space="preserve"> </w:t>
      </w:r>
      <w:r>
        <w:t xml:space="preserve">ratios relative to the other</w:t>
      </w:r>
      <w:r>
        <w:t xml:space="preserve"> </w:t>
      </w:r>
      <w:r>
        <w:rPr>
          <w:i/>
        </w:rPr>
        <w:t xml:space="preserve">ARF</w:t>
      </w:r>
      <w:r>
        <w:t xml:space="preserve">s. ARF23 has a truncated DNA-binding domain and had a high</w:t>
      </w:r>
      <w:r>
        <w:t xml:space="preserve"> </w:t>
      </w:r>
      <m:oMath>
        <m:sSub>
          <m:e>
            <m:r>
              <m:t>π</m:t>
            </m:r>
          </m:e>
          <m:sub>
            <m:r>
              <m:t>N</m:t>
            </m:r>
          </m:sub>
        </m:sSub>
        <m:r>
          <m:t>/</m:t>
        </m:r>
        <m:sSub>
          <m:e>
            <m:r>
              <m:t>π</m:t>
            </m:r>
          </m:e>
          <m:sub>
            <m:r>
              <m:t>S</m:t>
            </m:r>
          </m:sub>
        </m:sSub>
      </m:oMath>
      <w:r>
        <w:t xml:space="preserve"> </w:t>
      </w:r>
      <w:r>
        <w:t xml:space="preserve">value of 4.1. ARF13 has many high-diversity nonsense variants and lacks a C-terminal PB1 domain. This high level of diversity, prevalance of high-frequency nonsense variants and frequent loss of critical domains, may suggest that several genes in this class are undergoing pseudogenization.</w:t>
      </w:r>
    </w:p>
    <w:p>
      <w:pPr>
        <w:pStyle w:val="BodyText"/>
      </w:pPr>
      <w:r>
        <w:t xml:space="preserve">There are also a few highly conserved class B</w:t>
      </w:r>
      <w:r>
        <w:t xml:space="preserve"> </w:t>
      </w:r>
      <w:r>
        <w:rPr>
          <w:i/>
        </w:rPr>
        <w:t xml:space="preserve">ARF</w:t>
      </w:r>
      <w:r>
        <w:t xml:space="preserve">s. The high conservation of</w:t>
      </w:r>
      <w:r>
        <w:t xml:space="preserve"> </w:t>
      </w:r>
      <w:r>
        <w:rPr>
          <w:i/>
        </w:rPr>
        <w:t xml:space="preserve">ARF1</w:t>
      </w:r>
      <w:r>
        <w:t xml:space="preserve"> </w:t>
      </w:r>
      <w:r>
        <w:t xml:space="preserve">and</w:t>
      </w:r>
      <w:r>
        <w:t xml:space="preserve"> </w:t>
      </w:r>
      <w:r>
        <w:rPr>
          <w:i/>
        </w:rPr>
        <w:t xml:space="preserve">ARF2</w:t>
      </w:r>
      <w:r>
        <w:t xml:space="preserve"> </w:t>
      </w:r>
      <w:r>
        <w:t xml:space="preserve">is expected as they play critical, redundant roles in senescence and abscission</w:t>
      </w:r>
      <w:r>
        <w:t xml:space="preserve"> </w:t>
      </w:r>
      <w:r>
        <w:t xml:space="preserve">(Ellis et al.</w:t>
      </w:r>
      <w:r>
        <w:t xml:space="preserve"> </w:t>
      </w:r>
      <w:hyperlink w:anchor="ref-ellis_auxin_2005">
        <w:r>
          <w:rPr>
            <w:rStyle w:val="Hyperlink"/>
          </w:rPr>
          <w:t xml:space="preserve">2005</w:t>
        </w:r>
      </w:hyperlink>
      <w:r>
        <w:t xml:space="preserve">)</w:t>
      </w:r>
      <w:r>
        <w:t xml:space="preserve">. Little is known about</w:t>
      </w:r>
      <w:r>
        <w:t xml:space="preserve"> </w:t>
      </w:r>
      <w:r>
        <w:rPr>
          <w:i/>
        </w:rPr>
        <w:t xml:space="preserve">ARF9</w:t>
      </w:r>
      <w:r>
        <w:t xml:space="preserve"> </w:t>
      </w:r>
      <w:r>
        <w:t xml:space="preserve">however, and its low nonsynonymous diversity maybe worthy of investigation.</w:t>
      </w:r>
    </w:p>
    <w:p>
      <w:pPr>
        <w:pStyle w:val="BodyText"/>
      </w:pPr>
      <w:r>
        <w:t xml:space="preserve">Class C ARFs show low nucleotide diversity scores, with all</w:t>
      </w:r>
      <w:r>
        <w:t xml:space="preserve"> </w:t>
      </w:r>
      <m:oMath>
        <m:sSub>
          <m:e>
            <m:r>
              <m:t>π</m:t>
            </m:r>
          </m:e>
          <m:sub>
            <m:r>
              <m:t>N</m:t>
            </m:r>
          </m:sub>
        </m:sSub>
        <m:r>
          <m:t>/</m:t>
        </m:r>
        <m:sSub>
          <m:e>
            <m:r>
              <m:t>π</m:t>
            </m:r>
          </m:e>
          <m:sub>
            <m:r>
              <m:t>S</m:t>
            </m:r>
          </m:sub>
        </m:sSub>
      </m:oMath>
      <w:r>
        <w:t xml:space="preserve"> </w:t>
      </w:r>
      <w:r>
        <w:t xml:space="preserve">values substantially lower than 1.</w:t>
      </w:r>
      <w:r>
        <w:t xml:space="preserve"> </w:t>
      </w:r>
      <w:r>
        <w:rPr>
          <w:i/>
        </w:rPr>
        <w:t xml:space="preserve">ARF16</w:t>
      </w:r>
      <w:r>
        <w:t xml:space="preserve"> </w:t>
      </w:r>
      <w:r>
        <w:t xml:space="preserve">was the most conserved, whereas the other clade members (</w:t>
      </w:r>
      <w:r>
        <w:rPr>
          <w:i/>
        </w:rPr>
        <w:t xml:space="preserve">ARF10</w:t>
      </w:r>
      <w:r>
        <w:t xml:space="preserve">,</w:t>
      </w:r>
      <w:r>
        <w:t xml:space="preserve"> </w:t>
      </w:r>
      <w:r>
        <w:rPr>
          <w:i/>
        </w:rPr>
        <w:t xml:space="preserve">ARF17</w:t>
      </w:r>
      <w:r>
        <w:t xml:space="preserve">) had scores at least four times higher. Structurally, all three members of Class C ARFs contain a canonical B3 DNA-binding domain, but only ARF10 and ARF16 contain a PB1 domain. The DNA binding domains exhibited overall low diversity. Of the PB1 domain containing class C ARFs, ARF16’s PB1 domain exhibited several missense variants which are sporadically distributed, in contrast to the conserved PB1 domain of ARF10. This conservation in the PB1 domain of ARF10 and the DBD of ARF16 may suggest subfunctionalization in this class.</w:t>
      </w:r>
    </w:p>
    <w:p>
      <w:pPr>
        <w:pStyle w:val="Heading1"/>
      </w:pPr>
      <w:bookmarkStart w:id="75" w:name="refs"/>
      <w:r>
        <w:t xml:space="preserve">References</w:t>
      </w:r>
      <w:bookmarkEnd w:id="75"/>
    </w:p>
    <w:bookmarkStart w:id="294" w:name="refs"/>
    <w:bookmarkStart w:id="77" w:name="ref-alexandre_complex_2018"/>
    <w:p>
      <w:pPr>
        <w:pStyle w:val="Bibliography"/>
      </w:pPr>
      <w:r>
        <w:t xml:space="preserve">Alexandre, Cristina M., James R. Urton, Ken Jean-Baptiste, John Huddleston, Michael W. Dorrity, Josh T. Cuperus, Alessandra M. Sullivan, et al. 2018. “Complex Relationships Between Chromatin Accessibility, Sequence Divergence, and Gene Expression in Arabidopsis Thaliana.”</w:t>
      </w:r>
      <w:r>
        <w:t xml:space="preserve"> </w:t>
      </w:r>
      <w:r>
        <w:rPr>
          <w:i/>
        </w:rPr>
        <w:t xml:space="preserve">Molecular Biology and Evolution</w:t>
      </w:r>
      <w:r>
        <w:t xml:space="preserve"> </w:t>
      </w:r>
      <w:r>
        <w:t xml:space="preserve">35 (4): 837–54.</w:t>
      </w:r>
      <w:r>
        <w:t xml:space="preserve"> </w:t>
      </w:r>
      <w:hyperlink r:id="rId76">
        <w:r>
          <w:rPr>
            <w:rStyle w:val="Hyperlink"/>
          </w:rPr>
          <w:t xml:space="preserve">https://doi.org/10.1093/molbev/msx326</w:t>
        </w:r>
      </w:hyperlink>
      <w:r>
        <w:t xml:space="preserve">.</w:t>
      </w:r>
    </w:p>
    <w:bookmarkEnd w:id="77"/>
    <w:bookmarkStart w:id="79" w:name="ref-R-reticulate"/>
    <w:p>
      <w:pPr>
        <w:pStyle w:val="Bibliography"/>
      </w:pPr>
      <w:r>
        <w:t xml:space="preserve">Allaire, JJ, Kevin Ushey, and Yuan Tang. 2018.</w:t>
      </w:r>
      <w:r>
        <w:t xml:space="preserve"> </w:t>
      </w:r>
      <w:r>
        <w:rPr>
          <w:i/>
        </w:rPr>
        <w:t xml:space="preserve">Reticulate: Interface to ’Python’</w:t>
      </w:r>
      <w:r>
        <w:t xml:space="preserve">.</w:t>
      </w:r>
      <w:r>
        <w:t xml:space="preserve"> </w:t>
      </w:r>
      <w:hyperlink r:id="rId78">
        <w:r>
          <w:rPr>
            <w:rStyle w:val="Hyperlink"/>
          </w:rPr>
          <w:t xml:space="preserve">https://CRAN.R-project.org/package=reticulate</w:t>
        </w:r>
      </w:hyperlink>
      <w:r>
        <w:t xml:space="preserve">.</w:t>
      </w:r>
    </w:p>
    <w:bookmarkEnd w:id="79"/>
    <w:bookmarkStart w:id="81" w:name="ref-R-rmarkdown"/>
    <w:p>
      <w:pPr>
        <w:pStyle w:val="Bibliography"/>
      </w:pPr>
      <w:r>
        <w:t xml:space="preserve">Allaire, JJ, Yihui Xie, Jonathan McPherson, Javier Luraschi, Kevin Ushey, Aron Atkins, Hadley Wickham, Joe Cheng, Winston Chang, and Richard Iannone. 2018.</w:t>
      </w:r>
      <w:r>
        <w:t xml:space="preserve"> </w:t>
      </w:r>
      <w:r>
        <w:rPr>
          <w:i/>
        </w:rPr>
        <w:t xml:space="preserve">Rmarkdown: Dynamic Documents for R</w:t>
      </w:r>
      <w:r>
        <w:t xml:space="preserve">.</w:t>
      </w:r>
      <w:r>
        <w:t xml:space="preserve"> </w:t>
      </w:r>
      <w:hyperlink r:id="rId80">
        <w:r>
          <w:rPr>
            <w:rStyle w:val="Hyperlink"/>
          </w:rPr>
          <w:t xml:space="preserve">https://CRAN.R-project.org/package=rmarkdown</w:t>
        </w:r>
      </w:hyperlink>
      <w:r>
        <w:t xml:space="preserve">.</w:t>
      </w:r>
    </w:p>
    <w:bookmarkEnd w:id="81"/>
    <w:bookmarkStart w:id="83" w:name="ref-R-gginnards"/>
    <w:p>
      <w:pPr>
        <w:pStyle w:val="Bibliography"/>
      </w:pPr>
      <w:r>
        <w:t xml:space="preserve">Aphalo, Pedro J. 2018a.</w:t>
      </w:r>
      <w:r>
        <w:t xml:space="preserve"> </w:t>
      </w:r>
      <w:r>
        <w:rPr>
          <w:i/>
        </w:rPr>
        <w:t xml:space="preserve">Gginnards: Explore the Innards of ’Ggplot2’ Objects</w:t>
      </w:r>
      <w:r>
        <w:t xml:space="preserve">.</w:t>
      </w:r>
      <w:r>
        <w:t xml:space="preserve"> </w:t>
      </w:r>
      <w:hyperlink r:id="rId82">
        <w:r>
          <w:rPr>
            <w:rStyle w:val="Hyperlink"/>
          </w:rPr>
          <w:t xml:space="preserve">https://CRAN.R-project.org/package=gginnards</w:t>
        </w:r>
      </w:hyperlink>
      <w:r>
        <w:t xml:space="preserve">.</w:t>
      </w:r>
    </w:p>
    <w:bookmarkEnd w:id="83"/>
    <w:bookmarkStart w:id="85" w:name="ref-R-ggpmisc"/>
    <w:p>
      <w:pPr>
        <w:pStyle w:val="Bibliography"/>
      </w:pPr>
      <w:r>
        <w:t xml:space="preserve">———. 2018b.</w:t>
      </w:r>
      <w:r>
        <w:t xml:space="preserve"> </w:t>
      </w:r>
      <w:r>
        <w:rPr>
          <w:i/>
        </w:rPr>
        <w:t xml:space="preserve">Ggpmisc: Miscellaneous Extensions to ’Ggplot2’</w:t>
      </w:r>
      <w:r>
        <w:t xml:space="preserve">.</w:t>
      </w:r>
      <w:r>
        <w:t xml:space="preserve"> </w:t>
      </w:r>
      <w:hyperlink r:id="rId84">
        <w:r>
          <w:rPr>
            <w:rStyle w:val="Hyperlink"/>
          </w:rPr>
          <w:t xml:space="preserve">https://CRAN.R-project.org/package=ggpmisc</w:t>
        </w:r>
      </w:hyperlink>
      <w:r>
        <w:t xml:space="preserve">.</w:t>
      </w:r>
    </w:p>
    <w:bookmarkEnd w:id="85"/>
    <w:bookmarkStart w:id="87" w:name="ref-R-ggthemes"/>
    <w:p>
      <w:pPr>
        <w:pStyle w:val="Bibliography"/>
      </w:pPr>
      <w:r>
        <w:t xml:space="preserve">Arnold, Jeffrey B. 2018.</w:t>
      </w:r>
      <w:r>
        <w:t xml:space="preserve"> </w:t>
      </w:r>
      <w:r>
        <w:rPr>
          <w:i/>
        </w:rPr>
        <w:t xml:space="preserve">Ggthemes: Extra Themes, Scales and Geoms for ’Ggplot2’</w:t>
      </w:r>
      <w:r>
        <w:t xml:space="preserve">.</w:t>
      </w:r>
      <w:r>
        <w:t xml:space="preserve"> </w:t>
      </w:r>
      <w:hyperlink r:id="rId86">
        <w:r>
          <w:rPr>
            <w:rStyle w:val="Hyperlink"/>
          </w:rPr>
          <w:t xml:space="preserve">https://CRAN.R-project.org/package=ggthemes</w:t>
        </w:r>
      </w:hyperlink>
      <w:r>
        <w:t xml:space="preserve">.</w:t>
      </w:r>
    </w:p>
    <w:bookmarkEnd w:id="87"/>
    <w:bookmarkStart w:id="89" w:name="ref-atwell_genomewide_2010"/>
    <w:p>
      <w:pPr>
        <w:pStyle w:val="Bibliography"/>
      </w:pPr>
      <w:r>
        <w:t xml:space="preserve">Atwell, Susanna, Yu S. Huang, Bjarni J. Vilhjálmsson, Glenda Willems, Matthew Horton, Yan Li, Dazhe Meng, et al. 2010. “Genome-Wide Association Study of 107 Phenotypes in Arabidopsis Thaliana Inbred Lines.”</w:t>
      </w:r>
      <w:r>
        <w:t xml:space="preserve"> </w:t>
      </w:r>
      <w:r>
        <w:rPr>
          <w:i/>
        </w:rPr>
        <w:t xml:space="preserve">Nature</w:t>
      </w:r>
      <w:r>
        <w:t xml:space="preserve"> </w:t>
      </w:r>
      <w:r>
        <w:t xml:space="preserve">465 (7298): 627–31.</w:t>
      </w:r>
      <w:r>
        <w:t xml:space="preserve"> </w:t>
      </w:r>
      <w:hyperlink r:id="rId88">
        <w:r>
          <w:rPr>
            <w:rStyle w:val="Hyperlink"/>
          </w:rPr>
          <w:t xml:space="preserve">https://doi.org/10.1038/nature08800</w:t>
        </w:r>
      </w:hyperlink>
      <w:r>
        <w:t xml:space="preserve">.</w:t>
      </w:r>
    </w:p>
    <w:bookmarkEnd w:id="89"/>
    <w:bookmarkStart w:id="91" w:name="ref-R-magrittr"/>
    <w:p>
      <w:pPr>
        <w:pStyle w:val="Bibliography"/>
      </w:pPr>
      <w:r>
        <w:t xml:space="preserve">Bache, Stefan Milton, and Hadley Wickham. 2014.</w:t>
      </w:r>
      <w:r>
        <w:t xml:space="preserve"> </w:t>
      </w:r>
      <w:r>
        <w:rPr>
          <w:i/>
        </w:rPr>
        <w:t xml:space="preserve">Magrittr: A Forward-Pipe Operator for R</w:t>
      </w:r>
      <w:r>
        <w:t xml:space="preserve">.</w:t>
      </w:r>
      <w:r>
        <w:t xml:space="preserve"> </w:t>
      </w:r>
      <w:hyperlink r:id="rId90">
        <w:r>
          <w:rPr>
            <w:rStyle w:val="Hyperlink"/>
          </w:rPr>
          <w:t xml:space="preserve">https://CRAN.R-project.org/package=magrittr</w:t>
        </w:r>
      </w:hyperlink>
      <w:r>
        <w:t xml:space="preserve">.</w:t>
      </w:r>
    </w:p>
    <w:bookmarkEnd w:id="91"/>
    <w:bookmarkStart w:id="93" w:name="ref-boer_structural_2014"/>
    <w:p>
      <w:pPr>
        <w:pStyle w:val="Bibliography"/>
      </w:pPr>
      <w:r>
        <w:t xml:space="preserve">Boer, D. Roeland, Alejandra Freire-Rios, Willy A. M. van den Berg, Terrens Saaki, Iain W. Manfield, Stefan Kepinski, Irene López-Vidrieo, et al. 2014. “Structural Basis for DNA Binding Specificity by the Auxin-Dependent ARF Transcription Factors.”</w:t>
      </w:r>
      <w:r>
        <w:t xml:space="preserve"> </w:t>
      </w:r>
      <w:r>
        <w:rPr>
          <w:i/>
        </w:rPr>
        <w:t xml:space="preserve">Cell</w:t>
      </w:r>
      <w:r>
        <w:t xml:space="preserve"> </w:t>
      </w:r>
      <w:r>
        <w:t xml:space="preserve">156 (3): 577–89.</w:t>
      </w:r>
      <w:r>
        <w:t xml:space="preserve"> </w:t>
      </w:r>
      <w:hyperlink r:id="rId92">
        <w:r>
          <w:rPr>
            <w:rStyle w:val="Hyperlink"/>
          </w:rPr>
          <w:t xml:space="preserve">https://doi.org/10.1016/j.cell.2013.12.027</w:t>
        </w:r>
      </w:hyperlink>
      <w:r>
        <w:t xml:space="preserve">.</w:t>
      </w:r>
    </w:p>
    <w:bookmarkEnd w:id="93"/>
    <w:bookmarkStart w:id="95" w:name="ref-borevitz_genomewide_2007"/>
    <w:p>
      <w:pPr>
        <w:pStyle w:val="Bibliography"/>
      </w:pPr>
      <w:r>
        <w:t xml:space="preserve">Borevitz, Justin O., Samuel P. Hazen, Todd P. Michael, Geoffrey P. Morris, Ivan R. Baxter, Tina T. Hu, Huaming Chen, et al. 2007. “Genome-Wide Patterns of Single-Feature Polymorphism in Arabidopsis Thaliana.”</w:t>
      </w:r>
      <w:r>
        <w:t xml:space="preserve"> </w:t>
      </w:r>
      <w:r>
        <w:rPr>
          <w:i/>
        </w:rPr>
        <w:t xml:space="preserve">Proceedings of the National Academy of Sciences of the United States of America</w:t>
      </w:r>
      <w:r>
        <w:t xml:space="preserve"> </w:t>
      </w:r>
      <w:r>
        <w:t xml:space="preserve">104 (29): 12057–62.</w:t>
      </w:r>
      <w:r>
        <w:t xml:space="preserve"> </w:t>
      </w:r>
      <w:hyperlink r:id="rId94">
        <w:r>
          <w:rPr>
            <w:rStyle w:val="Hyperlink"/>
          </w:rPr>
          <w:t xml:space="preserve">https://doi.org/10.1073/pnas.0705323104</w:t>
        </w:r>
      </w:hyperlink>
      <w:r>
        <w:t xml:space="preserve">.</w:t>
      </w:r>
    </w:p>
    <w:bookmarkEnd w:id="95"/>
    <w:bookmarkStart w:id="97" w:name="X0b538c1a3641b0e3624d0afb4fde67e59e5153a"/>
    <w:p>
      <w:pPr>
        <w:pStyle w:val="Bibliography"/>
      </w:pPr>
      <w:r>
        <w:t xml:space="preserve">Calderón Villalobos, Luz Irina A., Sarah Lee, Cesar De Oliveira, Anthony Ivetac, Wolfgang Brandt, Lynne Armitage, Laura B. Sheard, et al. 2012. “A Combinatorial TIR1/AFB-Aux/IAA Co-Receptor System for Differential Sensing of Auxin.”</w:t>
      </w:r>
      <w:r>
        <w:t xml:space="preserve"> </w:t>
      </w:r>
      <w:r>
        <w:rPr>
          <w:i/>
        </w:rPr>
        <w:t xml:space="preserve">Nat Chem Biol</w:t>
      </w:r>
      <w:r>
        <w:t xml:space="preserve"> </w:t>
      </w:r>
      <w:r>
        <w:t xml:space="preserve">8 (5): 477–85.</w:t>
      </w:r>
      <w:r>
        <w:t xml:space="preserve"> </w:t>
      </w:r>
      <w:hyperlink r:id="rId96">
        <w:r>
          <w:rPr>
            <w:rStyle w:val="Hyperlink"/>
          </w:rPr>
          <w:t xml:space="preserve">https://doi.org/10.1038/nchembio.926</w:t>
        </w:r>
      </w:hyperlink>
      <w:r>
        <w:t xml:space="preserve">.</w:t>
      </w:r>
    </w:p>
    <w:bookmarkEnd w:id="97"/>
    <w:bookmarkStart w:id="99" w:name="ref-chen_crispr_2019"/>
    <w:p>
      <w:pPr>
        <w:pStyle w:val="Bibliography"/>
      </w:pPr>
      <w:r>
        <w:t xml:space="preserve">Chen, Kunling, Yanpeng Wang, Rui Zhang, Huawei Zhang, and Caixia Gao. 2019. “CRISPR/Cas Genome Editing and Precision Plant Breeding in Agriculture.”</w:t>
      </w:r>
      <w:r>
        <w:t xml:space="preserve"> </w:t>
      </w:r>
      <w:r>
        <w:rPr>
          <w:i/>
        </w:rPr>
        <w:t xml:space="preserve">Annual Review of Plant Biology</w:t>
      </w:r>
      <w:r>
        <w:t xml:space="preserve"> </w:t>
      </w:r>
      <w:r>
        <w:t xml:space="preserve">70 (1): null.</w:t>
      </w:r>
      <w:r>
        <w:t xml:space="preserve"> </w:t>
      </w:r>
      <w:hyperlink r:id="rId98">
        <w:r>
          <w:rPr>
            <w:rStyle w:val="Hyperlink"/>
          </w:rPr>
          <w:t xml:space="preserve">https://doi.org/10.1146/annurev-arplant-050718-100049</w:t>
        </w:r>
      </w:hyperlink>
      <w:r>
        <w:t xml:space="preserve">.</w:t>
      </w:r>
    </w:p>
    <w:bookmarkEnd w:id="99"/>
    <w:bookmarkStart w:id="101" w:name="ref-cheng_araport11_2017"/>
    <w:p>
      <w:pPr>
        <w:pStyle w:val="Bibliography"/>
      </w:pPr>
      <w:r>
        <w:t xml:space="preserve">Cheng, Chia-Yi, Vivek Krishnakumar, Agnes P. Chan, Françoise Thibaud-Nissen, Seth Schobel, and Christopher D. Town. 2017. “Araport11: A Complete Reannotation of the Arabidopsis Thaliana Reference Genome.”</w:t>
      </w:r>
      <w:r>
        <w:t xml:space="preserve"> </w:t>
      </w:r>
      <w:r>
        <w:rPr>
          <w:i/>
        </w:rPr>
        <w:t xml:space="preserve">The Plant Journal</w:t>
      </w:r>
      <w:r>
        <w:t xml:space="preserve"> </w:t>
      </w:r>
      <w:r>
        <w:t xml:space="preserve">89 (4): 789–804.</w:t>
      </w:r>
      <w:r>
        <w:t xml:space="preserve"> </w:t>
      </w:r>
      <w:hyperlink r:id="rId100">
        <w:r>
          <w:rPr>
            <w:rStyle w:val="Hyperlink"/>
          </w:rPr>
          <w:t xml:space="preserve">https://doi.org/10.1111/tpj.13415</w:t>
        </w:r>
      </w:hyperlink>
      <w:r>
        <w:t xml:space="preserve">.</w:t>
      </w:r>
    </w:p>
    <w:bookmarkEnd w:id="101"/>
    <w:bookmarkStart w:id="103" w:name="ref-clark_common_2007"/>
    <w:p>
      <w:pPr>
        <w:pStyle w:val="Bibliography"/>
      </w:pPr>
      <w:r>
        <w:t xml:space="preserve">Clark, Richard M., Gabriele Schweikert, Christopher Toomajian, Stephan Ossowski, Georg Zeller, Paul Shinn, Norman Warthmann, et al. 2007. “Common Sequence Polymorphisms Shaping Genetic Diversity in Arabidopsis Thaliana.”</w:t>
      </w:r>
      <w:r>
        <w:t xml:space="preserve"> </w:t>
      </w:r>
      <w:r>
        <w:rPr>
          <w:i/>
        </w:rPr>
        <w:t xml:space="preserve">Science</w:t>
      </w:r>
      <w:r>
        <w:t xml:space="preserve"> </w:t>
      </w:r>
      <w:r>
        <w:t xml:space="preserve">317 (5836): 338–42.</w:t>
      </w:r>
      <w:r>
        <w:t xml:space="preserve"> </w:t>
      </w:r>
      <w:hyperlink r:id="rId102">
        <w:r>
          <w:rPr>
            <w:rStyle w:val="Hyperlink"/>
          </w:rPr>
          <w:t xml:space="preserve">https://doi.org/10.1126/science.1138632</w:t>
        </w:r>
      </w:hyperlink>
      <w:r>
        <w:t xml:space="preserve">.</w:t>
      </w:r>
    </w:p>
    <w:bookmarkEnd w:id="103"/>
    <w:bookmarkStart w:id="105" w:name="ref-delker_natural_2010"/>
    <w:p>
      <w:pPr>
        <w:pStyle w:val="Bibliography"/>
      </w:pPr>
      <w:r>
        <w:t xml:space="preserve">Delker, Carolin, Yvonne Pöschl, Anja Raschke, Kristian Ullrich, Stefan Ettingshausen, Valeska Hauptmann, Ivo Grosse, and Marcel Quint. 2010. “Natural Variation of Transcriptional Auxin Response Networks in Arabidopsis Thaliana.”</w:t>
      </w:r>
      <w:r>
        <w:t xml:space="preserve"> </w:t>
      </w:r>
      <w:r>
        <w:rPr>
          <w:i/>
        </w:rPr>
        <w:t xml:space="preserve">The Plant Cell</w:t>
      </w:r>
      <w:r>
        <w:t xml:space="preserve"> </w:t>
      </w:r>
      <w:r>
        <w:t xml:space="preserve">22 (7): 2184–2200.</w:t>
      </w:r>
      <w:r>
        <w:t xml:space="preserve"> </w:t>
      </w:r>
      <w:hyperlink r:id="rId104">
        <w:r>
          <w:rPr>
            <w:rStyle w:val="Hyperlink"/>
          </w:rPr>
          <w:t xml:space="preserve">https://doi.org/10.1105/tpc.110.073957</w:t>
        </w:r>
      </w:hyperlink>
      <w:r>
        <w:t xml:space="preserve">.</w:t>
      </w:r>
    </w:p>
    <w:bookmarkEnd w:id="105"/>
    <w:bookmarkStart w:id="107" w:name="ref-dezfulian_oligomerization_2016"/>
    <w:p>
      <w:pPr>
        <w:pStyle w:val="Bibliography"/>
      </w:pPr>
      <w:r>
        <w:t xml:space="preserve">Dezfulian, Mohammad H., Espanta Jalili, Don Karl A. Roberto, Britney L. Moss, Kerry Khoo, Jennifer L. Nemhauser, and William L. Crosby. 2016. “Oligomerization of SCF TIR1 Is Essential for Aux/IAA Degradation and Auxin Signaling in Arabidopsis.”</w:t>
      </w:r>
      <w:r>
        <w:t xml:space="preserve"> </w:t>
      </w:r>
      <w:r>
        <w:rPr>
          <w:i/>
        </w:rPr>
        <w:t xml:space="preserve">PLOS Genet</w:t>
      </w:r>
      <w:r>
        <w:t xml:space="preserve"> </w:t>
      </w:r>
      <w:r>
        <w:t xml:space="preserve">12 (9): e1006301.</w:t>
      </w:r>
      <w:r>
        <w:t xml:space="preserve"> </w:t>
      </w:r>
      <w:hyperlink r:id="rId106">
        <w:r>
          <w:rPr>
            <w:rStyle w:val="Hyperlink"/>
          </w:rPr>
          <w:t xml:space="preserve">https://doi.org/10.1371/journal.pgen.1006301</w:t>
        </w:r>
      </w:hyperlink>
      <w:r>
        <w:t xml:space="preserve">.</w:t>
      </w:r>
    </w:p>
    <w:bookmarkEnd w:id="107"/>
    <w:bookmarkStart w:id="109" w:name="ref-dharmasiri_plant_2005"/>
    <w:p>
      <w:pPr>
        <w:pStyle w:val="Bibliography"/>
      </w:pPr>
      <w:r>
        <w:t xml:space="preserve">Dharmasiri, Nihal, Sunethra Dharmasiri, Dolf Weijers, Esther Lechner, Masashi Yamada, Lawrence Hobbie, Jasmin S. Ehrismann, Gerd Jürgens, and Mark Estelle. 2005. “Plant Development Is Regulated by a Family of Auxin Receptor F Box Proteins.”</w:t>
      </w:r>
      <w:r>
        <w:t xml:space="preserve"> </w:t>
      </w:r>
      <w:r>
        <w:rPr>
          <w:i/>
        </w:rPr>
        <w:t xml:space="preserve">Developmental Cell</w:t>
      </w:r>
      <w:r>
        <w:t xml:space="preserve"> </w:t>
      </w:r>
      <w:r>
        <w:t xml:space="preserve">9 (1): 109–19.</w:t>
      </w:r>
      <w:r>
        <w:t xml:space="preserve"> </w:t>
      </w:r>
      <w:hyperlink r:id="rId108">
        <w:r>
          <w:rPr>
            <w:rStyle w:val="Hyperlink"/>
          </w:rPr>
          <w:t xml:space="preserve">https://doi.org/10.1016/j.devcel.2005.05.014</w:t>
        </w:r>
      </w:hyperlink>
      <w:r>
        <w:t xml:space="preserve">.</w:t>
      </w:r>
    </w:p>
    <w:bookmarkEnd w:id="109"/>
    <w:bookmarkStart w:id="111" w:name="ref-ellis_auxin_2005"/>
    <w:p>
      <w:pPr>
        <w:pStyle w:val="Bibliography"/>
      </w:pPr>
      <w:r>
        <w:t xml:space="preserve">Ellis, Christine M., Punita Nagpal, Jeffery C. Young, Gretchen Hagen, Thomas J. Guilfoyle, and Jason W. Reed. 2005. “AUXIN RESPONSE FACTOR1 and AUXIN RESPONSE FACTOR2 Regulate Senescence and Floral Organ Abscission in Arabidopsis Thaliana.”</w:t>
      </w:r>
      <w:r>
        <w:t xml:space="preserve"> </w:t>
      </w:r>
      <w:r>
        <w:rPr>
          <w:i/>
        </w:rPr>
        <w:t xml:space="preserve">Development</w:t>
      </w:r>
      <w:r>
        <w:t xml:space="preserve"> </w:t>
      </w:r>
      <w:r>
        <w:t xml:space="preserve">132 (20): 4563–74.</w:t>
      </w:r>
      <w:r>
        <w:t xml:space="preserve"> </w:t>
      </w:r>
      <w:hyperlink r:id="rId110">
        <w:r>
          <w:rPr>
            <w:rStyle w:val="Hyperlink"/>
          </w:rPr>
          <w:t xml:space="preserve">https://doi.org/10.1242/dev.02012</w:t>
        </w:r>
      </w:hyperlink>
      <w:r>
        <w:t xml:space="preserve">.</w:t>
      </w:r>
    </w:p>
    <w:bookmarkEnd w:id="111"/>
    <w:bookmarkStart w:id="113" w:name="ref-firnberg_genetic_2013"/>
    <w:p>
      <w:pPr>
        <w:pStyle w:val="Bibliography"/>
      </w:pPr>
      <w:r>
        <w:t xml:space="preserve">Firnberg, Elad, and Marc Ostermeier. 2013. “The Genetic Code Constrains yet Facilitates Darwinian Evolution.”</w:t>
      </w:r>
      <w:r>
        <w:t xml:space="preserve"> </w:t>
      </w:r>
      <w:r>
        <w:rPr>
          <w:i/>
        </w:rPr>
        <w:t xml:space="preserve">Nucleic Acids Research</w:t>
      </w:r>
      <w:r>
        <w:t xml:space="preserve"> </w:t>
      </w:r>
      <w:r>
        <w:t xml:space="preserve">41 (15): 7420–8.</w:t>
      </w:r>
      <w:r>
        <w:t xml:space="preserve"> </w:t>
      </w:r>
      <w:hyperlink r:id="rId112">
        <w:r>
          <w:rPr>
            <w:rStyle w:val="Hyperlink"/>
          </w:rPr>
          <w:t xml:space="preserve">https://doi.org/10.1093/nar/gkt536</w:t>
        </w:r>
      </w:hyperlink>
      <w:r>
        <w:t xml:space="preserve">.</w:t>
      </w:r>
    </w:p>
    <w:bookmarkEnd w:id="113"/>
    <w:bookmarkStart w:id="115" w:name="ref-flores-sandoval_simple_2015"/>
    <w:p>
      <w:pPr>
        <w:pStyle w:val="Bibliography"/>
      </w:pPr>
      <w:r>
        <w:t xml:space="preserve">Flores-Sandoval, Eduardo, D. Magnus Eklund, and John L. Bowman. 2015. “A Simple Auxin Transcriptional Response System Regulates Multiple Morphogenetic Processes in the Liverwort Marchantia Polymorpha.”</w:t>
      </w:r>
      <w:r>
        <w:t xml:space="preserve"> </w:t>
      </w:r>
      <w:r>
        <w:rPr>
          <w:i/>
        </w:rPr>
        <w:t xml:space="preserve">PLOS Genetics</w:t>
      </w:r>
      <w:r>
        <w:t xml:space="preserve"> </w:t>
      </w:r>
      <w:r>
        <w:t xml:space="preserve">11 (5): e1005207.</w:t>
      </w:r>
      <w:r>
        <w:t xml:space="preserve"> </w:t>
      </w:r>
      <w:hyperlink r:id="rId114">
        <w:r>
          <w:rPr>
            <w:rStyle w:val="Hyperlink"/>
          </w:rPr>
          <w:t xml:space="preserve">https://doi.org/10.1371/journal.pgen.1005207</w:t>
        </w:r>
      </w:hyperlink>
      <w:r>
        <w:t xml:space="preserve">.</w:t>
      </w:r>
    </w:p>
    <w:bookmarkEnd w:id="115"/>
    <w:bookmarkStart w:id="117" w:name="ref-R-viridis"/>
    <w:p>
      <w:pPr>
        <w:pStyle w:val="Bibliography"/>
      </w:pPr>
      <w:r>
        <w:t xml:space="preserve">Garnier, Simon. 2018a.</w:t>
      </w:r>
      <w:r>
        <w:t xml:space="preserve"> </w:t>
      </w:r>
      <w:r>
        <w:rPr>
          <w:i/>
        </w:rPr>
        <w:t xml:space="preserve">Viridis: Default Color Maps from ’Matplotlib’</w:t>
      </w:r>
      <w:r>
        <w:t xml:space="preserve">.</w:t>
      </w:r>
      <w:r>
        <w:t xml:space="preserve"> </w:t>
      </w:r>
      <w:hyperlink r:id="rId116">
        <w:r>
          <w:rPr>
            <w:rStyle w:val="Hyperlink"/>
          </w:rPr>
          <w:t xml:space="preserve">https://CRAN.R-project.org/package=viridis</w:t>
        </w:r>
      </w:hyperlink>
      <w:r>
        <w:t xml:space="preserve">.</w:t>
      </w:r>
    </w:p>
    <w:bookmarkEnd w:id="117"/>
    <w:bookmarkStart w:id="119" w:name="ref-R-viridisLite"/>
    <w:p>
      <w:pPr>
        <w:pStyle w:val="Bibliography"/>
      </w:pPr>
      <w:r>
        <w:t xml:space="preserve">———. 2018b.</w:t>
      </w:r>
      <w:r>
        <w:t xml:space="preserve"> </w:t>
      </w:r>
      <w:r>
        <w:rPr>
          <w:i/>
        </w:rPr>
        <w:t xml:space="preserve">ViridisLite: Default Color Maps from ’Matplotlib’ (Lite Version)</w:t>
      </w:r>
      <w:r>
        <w:t xml:space="preserve">.</w:t>
      </w:r>
      <w:r>
        <w:t xml:space="preserve"> </w:t>
      </w:r>
      <w:hyperlink r:id="rId118">
        <w:r>
          <w:rPr>
            <w:rStyle w:val="Hyperlink"/>
          </w:rPr>
          <w:t xml:space="preserve">https://CRAN.R-project.org/package=viridisLite</w:t>
        </w:r>
      </w:hyperlink>
      <w:r>
        <w:t xml:space="preserve">.</w:t>
      </w:r>
    </w:p>
    <w:bookmarkEnd w:id="119"/>
    <w:bookmarkStart w:id="121" w:name="ref-gasperini_power_2016"/>
    <w:p>
      <w:pPr>
        <w:pStyle w:val="Bibliography"/>
      </w:pPr>
      <w:r>
        <w:t xml:space="preserve">Gasperini, Molly, Lea Starita, and Jay Shendure. 2016. “The Power of Multiplexed Functional Analysis of Genetic Variants.”</w:t>
      </w:r>
      <w:r>
        <w:t xml:space="preserve"> </w:t>
      </w:r>
      <w:r>
        <w:rPr>
          <w:i/>
        </w:rPr>
        <w:t xml:space="preserve">Nature Protocols</w:t>
      </w:r>
      <w:r>
        <w:t xml:space="preserve"> </w:t>
      </w:r>
      <w:r>
        <w:t xml:space="preserve">11 (10): 1782–7.</w:t>
      </w:r>
      <w:r>
        <w:t xml:space="preserve"> </w:t>
      </w:r>
      <w:hyperlink r:id="rId120">
        <w:r>
          <w:rPr>
            <w:rStyle w:val="Hyperlink"/>
          </w:rPr>
          <w:t xml:space="preserve">https://doi.org/10.1038/nprot.2016.135</w:t>
        </w:r>
      </w:hyperlink>
      <w:r>
        <w:t xml:space="preserve">.</w:t>
      </w:r>
    </w:p>
    <w:bookmarkEnd w:id="121"/>
    <w:bookmarkStart w:id="123" w:name="ref-gray_auxin_2001"/>
    <w:p>
      <w:pPr>
        <w:pStyle w:val="Bibliography"/>
      </w:pPr>
      <w:r>
        <w:t xml:space="preserve">Gray, W. M., S. Kepinski, D. Rouse, O. Leyser, and M. Estelle. 2001. “Auxin Regulates SCF(TIR1)-Dependent Degradation of AUX/IAA Proteins.”</w:t>
      </w:r>
      <w:r>
        <w:t xml:space="preserve"> </w:t>
      </w:r>
      <w:r>
        <w:rPr>
          <w:i/>
        </w:rPr>
        <w:t xml:space="preserve">Nature</w:t>
      </w:r>
      <w:r>
        <w:t xml:space="preserve"> </w:t>
      </w:r>
      <w:r>
        <w:t xml:space="preserve">414 (6861): 271–76.</w:t>
      </w:r>
      <w:r>
        <w:t xml:space="preserve"> </w:t>
      </w:r>
      <w:hyperlink r:id="rId122">
        <w:r>
          <w:rPr>
            <w:rStyle w:val="Hyperlink"/>
          </w:rPr>
          <w:t xml:space="preserve">https://doi.org/10.1038/35104500</w:t>
        </w:r>
      </w:hyperlink>
      <w:r>
        <w:t xml:space="preserve">.</w:t>
      </w:r>
    </w:p>
    <w:bookmarkEnd w:id="123"/>
    <w:bookmarkStart w:id="125" w:name="ref-guilfoyle_auxin_2007"/>
    <w:p>
      <w:pPr>
        <w:pStyle w:val="Bibliography"/>
      </w:pPr>
      <w:r>
        <w:t xml:space="preserve">Guilfoyle, Tom J., and Gretchen Hagen. 2007. “Auxin Response Factors.”</w:t>
      </w:r>
      <w:r>
        <w:t xml:space="preserve"> </w:t>
      </w:r>
      <w:r>
        <w:rPr>
          <w:i/>
        </w:rPr>
        <w:t xml:space="preserve">Current Opinion in Plant Biology</w:t>
      </w:r>
      <w:r>
        <w:t xml:space="preserve">, Cell Signalling and Gene RegulationEdited by Jian-Kang Zhu and Ko Shimamoto, 10 (5): 453–60.</w:t>
      </w:r>
      <w:r>
        <w:t xml:space="preserve"> </w:t>
      </w:r>
      <w:hyperlink r:id="rId124">
        <w:r>
          <w:rPr>
            <w:rStyle w:val="Hyperlink"/>
          </w:rPr>
          <w:t xml:space="preserve">https://doi.org/10.1016/j.pbi.2007.08.014</w:t>
        </w:r>
      </w:hyperlink>
      <w:r>
        <w:t xml:space="preserve">.</w:t>
      </w:r>
    </w:p>
    <w:bookmarkEnd w:id="125"/>
    <w:bookmarkStart w:id="127" w:name="ref-guilfoyle_getting_2012"/>
    <w:p>
      <w:pPr>
        <w:pStyle w:val="Bibliography"/>
      </w:pPr>
      <w:r>
        <w:t xml:space="preserve">———. 2012. “Getting a Grasp on Domain III/IV Responsible for Auxin Response FactorIAA Protein Interactions.”</w:t>
      </w:r>
      <w:r>
        <w:t xml:space="preserve"> </w:t>
      </w:r>
      <w:r>
        <w:rPr>
          <w:i/>
        </w:rPr>
        <w:t xml:space="preserve">Plant Science</w:t>
      </w:r>
      <w:r>
        <w:t xml:space="preserve"> </w:t>
      </w:r>
      <w:r>
        <w:t xml:space="preserve">190 (July): 82–88.</w:t>
      </w:r>
      <w:r>
        <w:t xml:space="preserve"> </w:t>
      </w:r>
      <w:hyperlink r:id="rId126">
        <w:r>
          <w:rPr>
            <w:rStyle w:val="Hyperlink"/>
          </w:rPr>
          <w:t xml:space="preserve">https://doi.org/10.1016/j.plantsci.2012.04.003</w:t>
        </w:r>
      </w:hyperlink>
      <w:r>
        <w:t xml:space="preserve">.</w:t>
      </w:r>
    </w:p>
    <w:bookmarkEnd w:id="127"/>
    <w:bookmarkStart w:id="129" w:name="ref-guo_gene_2013"/>
    <w:p>
      <w:pPr>
        <w:pStyle w:val="Bibliography"/>
      </w:pPr>
      <w:r>
        <w:t xml:space="preserve">Guo, Ya-Long. 2013. “Gene Family Evolution in Green Plants with Emphasis on the Origination and Evolution of Arabidopsis Thaliana Genes.”</w:t>
      </w:r>
      <w:r>
        <w:t xml:space="preserve"> </w:t>
      </w:r>
      <w:r>
        <w:rPr>
          <w:i/>
        </w:rPr>
        <w:t xml:space="preserve">The Plant Journal</w:t>
      </w:r>
      <w:r>
        <w:t xml:space="preserve"> </w:t>
      </w:r>
      <w:r>
        <w:t xml:space="preserve">73 (6): 941–51.</w:t>
      </w:r>
      <w:r>
        <w:t xml:space="preserve"> </w:t>
      </w:r>
      <w:hyperlink r:id="rId128">
        <w:r>
          <w:rPr>
            <w:rStyle w:val="Hyperlink"/>
          </w:rPr>
          <w:t xml:space="preserve">https://doi.org/10.1111/tpj.12089</w:t>
        </w:r>
      </w:hyperlink>
      <w:r>
        <w:t xml:space="preserve">.</w:t>
      </w:r>
    </w:p>
    <w:bookmarkEnd w:id="129"/>
    <w:bookmarkStart w:id="131" w:name="ref-guseman_auxininduced_2015"/>
    <w:p>
      <w:pPr>
        <w:pStyle w:val="Bibliography"/>
      </w:pPr>
      <w:r>
        <w:t xml:space="preserve">Guseman, Jessica M., Antje Hellmuth, Amy Lanctot, Tamar P. Feldman, Britney L. Moss, Eric Klavins, Luz Irina A. Calderón Villalobos, and Jennifer L. Nemhauser. 2015. “Auxin-Induced Degradation Dynamics Set the Pace for Lateral Root Development.”</w:t>
      </w:r>
      <w:r>
        <w:t xml:space="preserve"> </w:t>
      </w:r>
      <w:r>
        <w:rPr>
          <w:i/>
        </w:rPr>
        <w:t xml:space="preserve">Development</w:t>
      </w:r>
      <w:r>
        <w:t xml:space="preserve"> </w:t>
      </w:r>
      <w:r>
        <w:t xml:space="preserve">142 (5): 905–9.</w:t>
      </w:r>
      <w:r>
        <w:t xml:space="preserve"> </w:t>
      </w:r>
      <w:hyperlink r:id="rId130">
        <w:r>
          <w:rPr>
            <w:rStyle w:val="Hyperlink"/>
          </w:rPr>
          <w:t xml:space="preserve">https://doi.org/10.1242/dev.117234</w:t>
        </w:r>
      </w:hyperlink>
      <w:r>
        <w:t xml:space="preserve">.</w:t>
      </w:r>
    </w:p>
    <w:bookmarkEnd w:id="131"/>
    <w:bookmarkStart w:id="132" w:name="ref-R-r1001genomes"/>
    <w:p>
      <w:pPr>
        <w:pStyle w:val="Bibliography"/>
      </w:pPr>
      <w:r>
        <w:t xml:space="preserve">Hamm, Morgan O., and R. Clay Wright. 2018.</w:t>
      </w:r>
      <w:r>
        <w:t xml:space="preserve"> </w:t>
      </w:r>
      <w:r>
        <w:rPr>
          <w:i/>
        </w:rPr>
        <w:t xml:space="preserve">R1001genomes: Access and Analyze the 1001 Genomes Arabidopsis Resequencing Dataset</w:t>
      </w:r>
      <w:r>
        <w:t xml:space="preserve">.</w:t>
      </w:r>
    </w:p>
    <w:bookmarkEnd w:id="132"/>
    <w:bookmarkStart w:id="134" w:name="ref-havens_synthetic_2012"/>
    <w:p>
      <w:pPr>
        <w:pStyle w:val="Bibliography"/>
      </w:pPr>
      <w:r>
        <w:t xml:space="preserve">Havens, Kyle A., Jessica M. Guseman, Seunghee S. Jang, Edith Pierre-Jerome, Nick Bolten, Eric Klavins, and Jennifer L. Nemhauser. 2012. “A Synthetic Approach Reveals Extensive Tunability of Auxin Signaling.”</w:t>
      </w:r>
      <w:r>
        <w:t xml:space="preserve"> </w:t>
      </w:r>
      <w:r>
        <w:rPr>
          <w:i/>
        </w:rPr>
        <w:t xml:space="preserve">Plant Physiology</w:t>
      </w:r>
      <w:r>
        <w:t xml:space="preserve"> </w:t>
      </w:r>
      <w:r>
        <w:t xml:space="preserve">160 (1): 135–42.</w:t>
      </w:r>
      <w:r>
        <w:t xml:space="preserve"> </w:t>
      </w:r>
      <w:hyperlink r:id="rId133">
        <w:r>
          <w:rPr>
            <w:rStyle w:val="Hyperlink"/>
          </w:rPr>
          <w:t xml:space="preserve">https://doi.org/10.1104/pp.112.202184</w:t>
        </w:r>
      </w:hyperlink>
      <w:r>
        <w:t xml:space="preserve">.</w:t>
      </w:r>
    </w:p>
    <w:bookmarkEnd w:id="134"/>
    <w:bookmarkStart w:id="136" w:name="ref-R-ips"/>
    <w:p>
      <w:pPr>
        <w:pStyle w:val="Bibliography"/>
      </w:pPr>
      <w:r>
        <w:t xml:space="preserve">Heibl, Christoph. 2014.</w:t>
      </w:r>
      <w:r>
        <w:t xml:space="preserve"> </w:t>
      </w:r>
      <w:r>
        <w:rPr>
          <w:i/>
        </w:rPr>
        <w:t xml:space="preserve">Ips: Interfaces to Phylogenetic Software in R</w:t>
      </w:r>
      <w:r>
        <w:t xml:space="preserve">.</w:t>
      </w:r>
      <w:r>
        <w:t xml:space="preserve"> </w:t>
      </w:r>
      <w:hyperlink r:id="rId135">
        <w:r>
          <w:rPr>
            <w:rStyle w:val="Hyperlink"/>
          </w:rPr>
          <w:t xml:space="preserve">https://CRAN.R-project.org/package=ips</w:t>
        </w:r>
      </w:hyperlink>
      <w:r>
        <w:t xml:space="preserve">.</w:t>
      </w:r>
    </w:p>
    <w:bookmarkEnd w:id="136"/>
    <w:bookmarkStart w:id="138" w:name="ref-R-purrr"/>
    <w:p>
      <w:pPr>
        <w:pStyle w:val="Bibliography"/>
      </w:pPr>
      <w:r>
        <w:t xml:space="preserve">Henry, Lionel, and Hadley Wickham. 2018.</w:t>
      </w:r>
      <w:r>
        <w:t xml:space="preserve"> </w:t>
      </w:r>
      <w:r>
        <w:rPr>
          <w:i/>
        </w:rPr>
        <w:t xml:space="preserve">Purrr: Functional Programming Tools</w:t>
      </w:r>
      <w:r>
        <w:t xml:space="preserve">.</w:t>
      </w:r>
      <w:r>
        <w:t xml:space="preserve"> </w:t>
      </w:r>
      <w:hyperlink r:id="rId137">
        <w:r>
          <w:rPr>
            <w:rStyle w:val="Hyperlink"/>
          </w:rPr>
          <w:t xml:space="preserve">https://CRAN.R-project.org/package=purrr</w:t>
        </w:r>
      </w:hyperlink>
      <w:r>
        <w:t xml:space="preserve">.</w:t>
      </w:r>
    </w:p>
    <w:bookmarkEnd w:id="138"/>
    <w:bookmarkStart w:id="139" w:name="ref-hughes_adaptive_1999"/>
    <w:p>
      <w:pPr>
        <w:pStyle w:val="Bibliography"/>
      </w:pPr>
      <w:r>
        <w:t xml:space="preserve">Hughes, Austin L. 1999.</w:t>
      </w:r>
      <w:r>
        <w:t xml:space="preserve"> </w:t>
      </w:r>
      <w:r>
        <w:rPr>
          <w:i/>
        </w:rPr>
        <w:t xml:space="preserve">Adaptive Evolution of Genes and Genomes</w:t>
      </w:r>
      <w:r>
        <w:t xml:space="preserve">. Oxford University Press.</w:t>
      </w:r>
    </w:p>
    <w:bookmarkEnd w:id="139"/>
    <w:bookmarkStart w:id="140" w:name="ref-hughes_adaptive_2000"/>
    <w:p>
      <w:pPr>
        <w:pStyle w:val="Bibliography"/>
      </w:pPr>
      <w:r>
        <w:t xml:space="preserve">Hughes, Austin L., Jonathan A. Green, Juana M. Garbayo, and R. Michael Roberts. 2000. “Adaptive Diversification Within a Large Family of Recently Duplicated, Placentally Expressed Genes.”</w:t>
      </w:r>
      <w:r>
        <w:t xml:space="preserve"> </w:t>
      </w:r>
      <w:r>
        <w:rPr>
          <w:i/>
        </w:rPr>
        <w:t xml:space="preserve">Proceedings of the National Academy of Sciences of the United States of America</w:t>
      </w:r>
      <w:r>
        <w:t xml:space="preserve"> </w:t>
      </w:r>
      <w:r>
        <w:t xml:space="preserve">97 (7): 3319–23.</w:t>
      </w:r>
    </w:p>
    <w:bookmarkEnd w:id="140"/>
    <w:bookmarkStart w:id="142" w:name="ref-R-colorspace"/>
    <w:p>
      <w:pPr>
        <w:pStyle w:val="Bibliography"/>
      </w:pPr>
      <w:r>
        <w:t xml:space="preserve">Ihaka, Ross, Paul Murrell, Kurt Hornik, Jason C. Fisher, Reto Stauffer, Claus O. Wilke, Claire D. McWhite, and Achim Zeileis. 2019.</w:t>
      </w:r>
      <w:r>
        <w:t xml:space="preserve"> </w:t>
      </w:r>
      <w:r>
        <w:rPr>
          <w:i/>
        </w:rPr>
        <w:t xml:space="preserve">Colorspace: A Toolbox for Manipulating and Assessing Colors and Palettes</w:t>
      </w:r>
      <w:r>
        <w:t xml:space="preserve">.</w:t>
      </w:r>
      <w:r>
        <w:t xml:space="preserve"> </w:t>
      </w:r>
      <w:hyperlink r:id="rId141">
        <w:r>
          <w:rPr>
            <w:rStyle w:val="Hyperlink"/>
          </w:rPr>
          <w:t xml:space="preserve">https://CRAN.R-project.org/package=colorspace</w:t>
        </w:r>
      </w:hyperlink>
      <w:r>
        <w:t xml:space="preserve">.</w:t>
      </w:r>
    </w:p>
    <w:bookmarkEnd w:id="142"/>
    <w:bookmarkStart w:id="144" w:name="ref-ito_auxindependent_2016"/>
    <w:p>
      <w:pPr>
        <w:pStyle w:val="Bibliography"/>
      </w:pPr>
      <w:r>
        <w:t xml:space="preserve">Ito, Jun, Hidehiro Fukaki, Makoto Onoda, Lin Li, Chuanyou Li, Masao Tasaka, and Masahiko Furutani. 2016. “Auxin-Dependent Compositional Change in Mediator in ARF7- and ARF19-Mediated Transcription.”</w:t>
      </w:r>
      <w:r>
        <w:t xml:space="preserve"> </w:t>
      </w:r>
      <w:r>
        <w:rPr>
          <w:i/>
        </w:rPr>
        <w:t xml:space="preserve">Proceedings of the National Academy of Sciences</w:t>
      </w:r>
      <w:r>
        <w:t xml:space="preserve">, May, 201600739.</w:t>
      </w:r>
      <w:r>
        <w:t xml:space="preserve"> </w:t>
      </w:r>
      <w:hyperlink r:id="rId143">
        <w:r>
          <w:rPr>
            <w:rStyle w:val="Hyperlink"/>
          </w:rPr>
          <w:t xml:space="preserve">https://doi.org/10.1073/pnas.1600739113</w:t>
        </w:r>
      </w:hyperlink>
      <w:r>
        <w:t xml:space="preserve">.</w:t>
      </w:r>
    </w:p>
    <w:bookmarkEnd w:id="144"/>
    <w:bookmarkStart w:id="145" w:name="ref-jacob_evolution_1977"/>
    <w:p>
      <w:pPr>
        <w:pStyle w:val="Bibliography"/>
      </w:pPr>
      <w:r>
        <w:t xml:space="preserve">Jacob, François. 1977. “Evolution and Tinkering.”</w:t>
      </w:r>
      <w:r>
        <w:t xml:space="preserve"> </w:t>
      </w:r>
      <w:r>
        <w:rPr>
          <w:i/>
        </w:rPr>
        <w:t xml:space="preserve">Science</w:t>
      </w:r>
      <w:r>
        <w:t xml:space="preserve"> </w:t>
      </w:r>
      <w:r>
        <w:t xml:space="preserve">196 (4295): 1161–6.</w:t>
      </w:r>
    </w:p>
    <w:bookmarkEnd w:id="145"/>
    <w:bookmarkStart w:id="147" w:name="ref-joly-lopez_developing_2016"/>
    <w:p>
      <w:pPr>
        <w:pStyle w:val="Bibliography"/>
      </w:pPr>
      <w:r>
        <w:t xml:space="preserve">Joly-Lopez, Zoé, Jonathan M Flowers, and Michael D Purugganan. 2016. “Developing Maps of Fitness Consequences for Plant Genomes.”</w:t>
      </w:r>
      <w:r>
        <w:t xml:space="preserve"> </w:t>
      </w:r>
      <w:r>
        <w:rPr>
          <w:i/>
        </w:rPr>
        <w:t xml:space="preserve">Current Opinion in Plant Biology</w:t>
      </w:r>
      <w:r>
        <w:t xml:space="preserve">, SI: 30: Genome studies and molecular genetics, 30 (April): 101–7.</w:t>
      </w:r>
      <w:r>
        <w:t xml:space="preserve"> </w:t>
      </w:r>
      <w:hyperlink r:id="rId146">
        <w:r>
          <w:rPr>
            <w:rStyle w:val="Hyperlink"/>
          </w:rPr>
          <w:t xml:space="preserve">https://doi.org/10.1016/j.pbi.2016.02.008</w:t>
        </w:r>
      </w:hyperlink>
      <w:r>
        <w:t xml:space="preserve">.</w:t>
      </w:r>
    </w:p>
    <w:bookmarkEnd w:id="147"/>
    <w:bookmarkStart w:id="149" w:name="ref-joshi_1001_2012"/>
    <w:p>
      <w:pPr>
        <w:pStyle w:val="Bibliography"/>
      </w:pPr>
      <w:r>
        <w:t xml:space="preserve">Joshi, Hiren J., Katy M. Christiansen, Joffrey Fitz, Jun Cao, Anna Lipzen, Joel Martin, A. Michelle Smith-Moritz, et al. 2012. “1001 Proteomes: A Functional Proteomics Portal for the Analysis of Arabidopsis Thaliana Accessions.”</w:t>
      </w:r>
      <w:r>
        <w:t xml:space="preserve"> </w:t>
      </w:r>
      <w:r>
        <w:rPr>
          <w:i/>
        </w:rPr>
        <w:t xml:space="preserve">Bioinformatics</w:t>
      </w:r>
      <w:r>
        <w:t xml:space="preserve"> </w:t>
      </w:r>
      <w:r>
        <w:t xml:space="preserve">28 (10): 1303–6.</w:t>
      </w:r>
      <w:r>
        <w:t xml:space="preserve"> </w:t>
      </w:r>
      <w:hyperlink r:id="rId148">
        <w:r>
          <w:rPr>
            <w:rStyle w:val="Hyperlink"/>
          </w:rPr>
          <w:t xml:space="preserve">https://doi.org/10.1093/bioinformatics/bts133</w:t>
        </w:r>
      </w:hyperlink>
      <w:r>
        <w:t xml:space="preserve">.</w:t>
      </w:r>
    </w:p>
    <w:bookmarkEnd w:id="149"/>
    <w:bookmarkStart w:id="151" w:name="ref-ke_structural_2015"/>
    <w:p>
      <w:pPr>
        <w:pStyle w:val="Bibliography"/>
      </w:pPr>
      <w:r>
        <w:t xml:space="preserve">Ke, Jiyuan, Honglei Ma, Xin Gu, Adam Thelen, Joseph S. Brunzelle, Jiayang Li, H. Eric Xu, and Karsten Melcher. 2015. “Structural Basis for Recognition of Diverse Transcriptional Repressors by the TOPLESS Family of Corepressors.”</w:t>
      </w:r>
      <w:r>
        <w:t xml:space="preserve"> </w:t>
      </w:r>
      <w:r>
        <w:rPr>
          <w:i/>
        </w:rPr>
        <w:t xml:space="preserve">Science Advances</w:t>
      </w:r>
      <w:r>
        <w:t xml:space="preserve"> </w:t>
      </w:r>
      <w:r>
        <w:t xml:space="preserve">1 (6): e1500107.</w:t>
      </w:r>
      <w:r>
        <w:t xml:space="preserve"> </w:t>
      </w:r>
      <w:hyperlink r:id="rId150">
        <w:r>
          <w:rPr>
            <w:rStyle w:val="Hyperlink"/>
          </w:rPr>
          <w:t xml:space="preserve">https://doi.org/10.1126/sciadv.1500107</w:t>
        </w:r>
      </w:hyperlink>
      <w:r>
        <w:t xml:space="preserve">.</w:t>
      </w:r>
    </w:p>
    <w:bookmarkEnd w:id="151"/>
    <w:bookmarkStart w:id="153" w:name="ref-kliebenstein_role_2008"/>
    <w:p>
      <w:pPr>
        <w:pStyle w:val="Bibliography"/>
      </w:pPr>
      <w:r>
        <w:t xml:space="preserve">Kliebenstein, Daniel J. 2008. “A Role for Gene Duplication and Natural Variation of Gene Expression in the Evolution of Metabolism.”</w:t>
      </w:r>
      <w:r>
        <w:t xml:space="preserve"> </w:t>
      </w:r>
      <w:r>
        <w:rPr>
          <w:i/>
        </w:rPr>
        <w:t xml:space="preserve">PLOS ONE</w:t>
      </w:r>
      <w:r>
        <w:t xml:space="preserve"> </w:t>
      </w:r>
      <w:r>
        <w:t xml:space="preserve">3 (3): e1838.</w:t>
      </w:r>
      <w:r>
        <w:t xml:space="preserve"> </w:t>
      </w:r>
      <w:hyperlink r:id="rId152">
        <w:r>
          <w:rPr>
            <w:rStyle w:val="Hyperlink"/>
          </w:rPr>
          <w:t xml:space="preserve">https://doi.org/10.1371/journal.pone.0001838</w:t>
        </w:r>
      </w:hyperlink>
      <w:r>
        <w:t xml:space="preserve">.</w:t>
      </w:r>
    </w:p>
    <w:bookmarkEnd w:id="153"/>
    <w:bookmarkStart w:id="155" w:name="ref-korasick_molecular_2014"/>
    <w:p>
      <w:pPr>
        <w:pStyle w:val="Bibliography"/>
      </w:pPr>
      <w:r>
        <w:t xml:space="preserve">Korasick, David A., Corey S. Westfall, Soon Goo Lee, Max H. Nanao, Renaud Dumas, Gretchen Hagen, Thomas J. Guilfoyle, Joseph M. Jez, and Lucia C. Strader. 2014. “Molecular Basis for AUXIN RESPONSE FACTOR Protein Interaction and the Control of Auxin Response Repression.”</w:t>
      </w:r>
      <w:r>
        <w:t xml:space="preserve"> </w:t>
      </w:r>
      <w:r>
        <w:rPr>
          <w:i/>
        </w:rPr>
        <w:t xml:space="preserve">Proceedings of the National Academy of Sciences</w:t>
      </w:r>
      <w:r>
        <w:t xml:space="preserve"> </w:t>
      </w:r>
      <w:r>
        <w:t xml:space="preserve">111 (14): 5427–32.</w:t>
      </w:r>
      <w:r>
        <w:t xml:space="preserve"> </w:t>
      </w:r>
      <w:hyperlink r:id="rId154">
        <w:r>
          <w:rPr>
            <w:rStyle w:val="Hyperlink"/>
          </w:rPr>
          <w:t xml:space="preserve">https://doi.org/10.1073/pnas.1400074111</w:t>
        </w:r>
      </w:hyperlink>
      <w:r>
        <w:t xml:space="preserve">.</w:t>
      </w:r>
    </w:p>
    <w:bookmarkEnd w:id="155"/>
    <w:bookmarkStart w:id="157" w:name="ref-kuck_parametric_2010"/>
    <w:p>
      <w:pPr>
        <w:pStyle w:val="Bibliography"/>
      </w:pPr>
      <w:r>
        <w:t xml:space="preserve">Kück, Patrick, Karen Meusemann, Johannes Dambach, Birthe Thormann, Björn M. von Reumont, Johann W. Wägele, and Bernhard Misof. 2010. “Parametric and Non-Parametric Masking of Randomness in Sequence Alignments Can Be Improved and Leads to Better Resolved Trees.”</w:t>
      </w:r>
      <w:r>
        <w:t xml:space="preserve"> </w:t>
      </w:r>
      <w:r>
        <w:rPr>
          <w:i/>
        </w:rPr>
        <w:t xml:space="preserve">Frontiers in Zoology</w:t>
      </w:r>
      <w:r>
        <w:t xml:space="preserve"> </w:t>
      </w:r>
      <w:r>
        <w:t xml:space="preserve">7 (March): 10.</w:t>
      </w:r>
      <w:r>
        <w:t xml:space="preserve"> </w:t>
      </w:r>
      <w:hyperlink r:id="rId156">
        <w:r>
          <w:rPr>
            <w:rStyle w:val="Hyperlink"/>
          </w:rPr>
          <w:t xml:space="preserve">https://doi.org/10.1186/1742-9994-7-10</w:t>
        </w:r>
      </w:hyperlink>
      <w:r>
        <w:t xml:space="preserve">.</w:t>
      </w:r>
    </w:p>
    <w:bookmarkEnd w:id="157"/>
    <w:bookmarkStart w:id="159" w:name="ref-long_topless_2006"/>
    <w:p>
      <w:pPr>
        <w:pStyle w:val="Bibliography"/>
      </w:pPr>
      <w:r>
        <w:t xml:space="preserve">Long, Jeff A., Carolyn Ohno, Zachery R. Smith, and Elliot M. Meyerowitz. 2006. “TOPLESS Regulates Apical Embryonic Fate in Arabidopsis.”</w:t>
      </w:r>
      <w:r>
        <w:t xml:space="preserve"> </w:t>
      </w:r>
      <w:r>
        <w:rPr>
          <w:i/>
        </w:rPr>
        <w:t xml:space="preserve">Science</w:t>
      </w:r>
      <w:r>
        <w:t xml:space="preserve"> </w:t>
      </w:r>
      <w:r>
        <w:t xml:space="preserve">312 (5779): 1520–3.</w:t>
      </w:r>
      <w:r>
        <w:t xml:space="preserve"> </w:t>
      </w:r>
      <w:hyperlink r:id="rId158">
        <w:r>
          <w:rPr>
            <w:rStyle w:val="Hyperlink"/>
          </w:rPr>
          <w:t xml:space="preserve">https://doi.org/10.1126/science.1123841</w:t>
        </w:r>
      </w:hyperlink>
      <w:r>
        <w:t xml:space="preserve">.</w:t>
      </w:r>
    </w:p>
    <w:bookmarkEnd w:id="159"/>
    <w:bookmarkStart w:id="161" w:name="ref-long_massive_2013"/>
    <w:p>
      <w:pPr>
        <w:pStyle w:val="Bibliography"/>
      </w:pPr>
      <w:r>
        <w:t xml:space="preserve">Long, Quan, Fernando A Rabanal, Dazhe Meng, Christian D Huber, Ashley Farlow, Alexander Platzer, Qingrun Zhang, et al. 2013. “Massive Genomic Variation and Strong Selection in Arabidopsis Thaliana Lines from Sweden.”</w:t>
      </w:r>
      <w:r>
        <w:t xml:space="preserve"> </w:t>
      </w:r>
      <w:r>
        <w:rPr>
          <w:i/>
        </w:rPr>
        <w:t xml:space="preserve">Nature Genetics</w:t>
      </w:r>
      <w:r>
        <w:t xml:space="preserve"> </w:t>
      </w:r>
      <w:r>
        <w:t xml:space="preserve">45 (8): 884–90.</w:t>
      </w:r>
      <w:r>
        <w:t xml:space="preserve"> </w:t>
      </w:r>
      <w:hyperlink r:id="rId160">
        <w:r>
          <w:rPr>
            <w:rStyle w:val="Hyperlink"/>
          </w:rPr>
          <w:t xml:space="preserve">https://doi.org/10.1038/ng.2678</w:t>
        </w:r>
      </w:hyperlink>
      <w:r>
        <w:t xml:space="preserve">.</w:t>
      </w:r>
    </w:p>
    <w:bookmarkEnd w:id="161"/>
    <w:bookmarkStart w:id="163" w:name="ref-ma_d53_2017"/>
    <w:p>
      <w:pPr>
        <w:pStyle w:val="Bibliography"/>
      </w:pPr>
      <w:r>
        <w:t xml:space="preserve">Ma, Honglei, Jingbo Duan, Jiyuan Ke, Yuanzheng He, Xin Gu, Ting-Hai Xu, Hong Yu, et al. 2017. “A D53 Repression Motif Induces Oligomerization of TOPLESS Corepressors and Promotes Assembly of a Corepressor-Nucleosome Complex.”</w:t>
      </w:r>
      <w:r>
        <w:t xml:space="preserve"> </w:t>
      </w:r>
      <w:r>
        <w:rPr>
          <w:i/>
        </w:rPr>
        <w:t xml:space="preserve">Science Advances</w:t>
      </w:r>
      <w:r>
        <w:t xml:space="preserve"> </w:t>
      </w:r>
      <w:r>
        <w:t xml:space="preserve">3 (6).</w:t>
      </w:r>
      <w:r>
        <w:t xml:space="preserve"> </w:t>
      </w:r>
      <w:hyperlink r:id="rId162">
        <w:r>
          <w:rPr>
            <w:rStyle w:val="Hyperlink"/>
          </w:rPr>
          <w:t xml:space="preserve">https://doi.org/10.1126/sciadv.1601217</w:t>
        </w:r>
      </w:hyperlink>
      <w:r>
        <w:t xml:space="preserve">.</w:t>
      </w:r>
    </w:p>
    <w:bookmarkEnd w:id="163"/>
    <w:bookmarkStart w:id="165" w:name="ref-martin-arevalillo_structure_2017"/>
    <w:p>
      <w:pPr>
        <w:pStyle w:val="Bibliography"/>
      </w:pPr>
      <w:r>
        <w:t xml:space="preserve">Martin-Arevalillo, Raquel, Max H. Nanao, Antoine Larrieu, Thomas Vinos-Poyo, David Mast, Carlos Galvan-Ampudia, Géraldine Brunoud, Teva Vernoux, Renaud Dumas, and François Parcy. 2017. “Structure of the Arabidopsis TOPLESS Corepressor Provides Insight into the Evolution of Transcriptional Repression.”</w:t>
      </w:r>
      <w:r>
        <w:t xml:space="preserve"> </w:t>
      </w:r>
      <w:r>
        <w:rPr>
          <w:i/>
        </w:rPr>
        <w:t xml:space="preserve">Proceedings of the National Academy of Sciences</w:t>
      </w:r>
      <w:r>
        <w:t xml:space="preserve">, July, 201703054.</w:t>
      </w:r>
      <w:r>
        <w:t xml:space="preserve"> </w:t>
      </w:r>
      <w:hyperlink r:id="rId164">
        <w:r>
          <w:rPr>
            <w:rStyle w:val="Hyperlink"/>
          </w:rPr>
          <w:t xml:space="preserve">https://doi.org/10.1073/pnas.1703054114</w:t>
        </w:r>
      </w:hyperlink>
      <w:r>
        <w:t xml:space="preserve">.</w:t>
      </w:r>
    </w:p>
    <w:bookmarkEnd w:id="165"/>
    <w:bookmarkStart w:id="167" w:name="ref-matreyek_platform_2017"/>
    <w:p>
      <w:pPr>
        <w:pStyle w:val="Bibliography"/>
      </w:pPr>
      <w:r>
        <w:t xml:space="preserve">Matreyek, Kenneth A., Jason J. Stephany, and Douglas M. Fowler. 2017. “A Platform for Functional Assessment of Large Variant Libraries in Mammalian Cells.”</w:t>
      </w:r>
      <w:r>
        <w:t xml:space="preserve"> </w:t>
      </w:r>
      <w:r>
        <w:rPr>
          <w:i/>
        </w:rPr>
        <w:t xml:space="preserve">Nucleic Acids Research</w:t>
      </w:r>
      <w:r>
        <w:t xml:space="preserve"> </w:t>
      </w:r>
      <w:r>
        <w:t xml:space="preserve">45 (11): e102.</w:t>
      </w:r>
      <w:r>
        <w:t xml:space="preserve"> </w:t>
      </w:r>
      <w:hyperlink r:id="rId166">
        <w:r>
          <w:rPr>
            <w:rStyle w:val="Hyperlink"/>
          </w:rPr>
          <w:t xml:space="preserve">https://doi.org/10.1093/nar/gkx183</w:t>
        </w:r>
      </w:hyperlink>
      <w:r>
        <w:t xml:space="preserve">.</w:t>
      </w:r>
    </w:p>
    <w:bookmarkEnd w:id="167"/>
    <w:bookmarkStart w:id="169" w:name="ref-melamed_combining_2015"/>
    <w:p>
      <w:pPr>
        <w:pStyle w:val="Bibliography"/>
      </w:pPr>
      <w:r>
        <w:t xml:space="preserve">Melamed, Daniel, David L. Young, Christina R. Miller, and Stanley Fields. 2015. “Combining Natural Sequence Variation with High Throughput Mutational Data to Reveal Protein Interaction Sites.”</w:t>
      </w:r>
      <w:r>
        <w:t xml:space="preserve"> </w:t>
      </w:r>
      <w:r>
        <w:rPr>
          <w:i/>
        </w:rPr>
        <w:t xml:space="preserve">PLoS Genet</w:t>
      </w:r>
      <w:r>
        <w:t xml:space="preserve"> </w:t>
      </w:r>
      <w:r>
        <w:t xml:space="preserve">11 (2): e1004918.</w:t>
      </w:r>
      <w:r>
        <w:t xml:space="preserve"> </w:t>
      </w:r>
      <w:hyperlink r:id="rId168">
        <w:r>
          <w:rPr>
            <w:rStyle w:val="Hyperlink"/>
          </w:rPr>
          <w:t xml:space="preserve">https://doi.org/10.1371/journal.pgen.1004918</w:t>
        </w:r>
      </w:hyperlink>
      <w:r>
        <w:t xml:space="preserve">.</w:t>
      </w:r>
    </w:p>
    <w:bookmarkEnd w:id="169"/>
    <w:bookmarkStart w:id="171" w:name="ref-michael_high_2018"/>
    <w:p>
      <w:pPr>
        <w:pStyle w:val="Bibliography"/>
      </w:pPr>
      <w:r>
        <w:t xml:space="preserve">Michael, Todd P., Florian Jupe, Felix Bemm, S. Timothy Motley, Justin P. Sandoval, Christa Lanz, Olivier Loudet, Detlef Weigel, and Joseph R. Ecker. 2018. “High Contiguity Arabidopsis Thaliana Genome Assembly with a Single Nanopore Flow Cell.”</w:t>
      </w:r>
      <w:r>
        <w:t xml:space="preserve"> </w:t>
      </w:r>
      <w:r>
        <w:rPr>
          <w:i/>
        </w:rPr>
        <w:t xml:space="preserve">Nature Communications</w:t>
      </w:r>
      <w:r>
        <w:t xml:space="preserve"> </w:t>
      </w:r>
      <w:r>
        <w:t xml:space="preserve">9 (1): 541.</w:t>
      </w:r>
      <w:r>
        <w:t xml:space="preserve"> </w:t>
      </w:r>
      <w:hyperlink r:id="rId170">
        <w:r>
          <w:rPr>
            <w:rStyle w:val="Hyperlink"/>
          </w:rPr>
          <w:t xml:space="preserve">https://doi.org/10.1038/s41467-018-03016-2</w:t>
        </w:r>
      </w:hyperlink>
      <w:r>
        <w:t xml:space="preserve">.</w:t>
      </w:r>
    </w:p>
    <w:bookmarkEnd w:id="171"/>
    <w:bookmarkStart w:id="173" w:name="ref-moore_evolutionary_2005"/>
    <w:p>
      <w:pPr>
        <w:pStyle w:val="Bibliography"/>
      </w:pPr>
      <w:r>
        <w:t xml:space="preserve">Moore, Richard C, and Michael D Purugganan. 2005. “The Evolutionary Dynamics of Plant Duplicate Genes.”</w:t>
      </w:r>
      <w:r>
        <w:t xml:space="preserve"> </w:t>
      </w:r>
      <w:r>
        <w:rPr>
          <w:i/>
        </w:rPr>
        <w:t xml:space="preserve">Current Opinion in Plant Biology</w:t>
      </w:r>
      <w:r>
        <w:t xml:space="preserve">, Genome studies and molecular genetics / Plant biotechnology, 8 (2): 122–28.</w:t>
      </w:r>
      <w:r>
        <w:t xml:space="preserve"> </w:t>
      </w:r>
      <w:hyperlink r:id="rId172">
        <w:r>
          <w:rPr>
            <w:rStyle w:val="Hyperlink"/>
          </w:rPr>
          <w:t xml:space="preserve">https://doi.org/10.1016/j.pbi.2004.12.001</w:t>
        </w:r>
      </w:hyperlink>
      <w:r>
        <w:t xml:space="preserve">.</w:t>
      </w:r>
    </w:p>
    <w:bookmarkEnd w:id="173"/>
    <w:bookmarkStart w:id="175" w:name="ref-mutte_origin_2018"/>
    <w:p>
      <w:pPr>
        <w:pStyle w:val="Bibliography"/>
      </w:pPr>
      <w:r>
        <w:t xml:space="preserve">Mutte, Sumanth K., Hirotaka Kato, Carl Rothfels, Michael Melkonian, Gane Ka-Shu Wong, and Dolf Weijers. 2018. “Origin and Evolution of the Nuclear Auxin Response System.”</w:t>
      </w:r>
      <w:r>
        <w:t xml:space="preserve"> </w:t>
      </w:r>
      <w:r>
        <w:rPr>
          <w:i/>
        </w:rPr>
        <w:t xml:space="preserve">eLife</w:t>
      </w:r>
      <w:r>
        <w:t xml:space="preserve"> </w:t>
      </w:r>
      <w:r>
        <w:t xml:space="preserve">7 (March): e33399.</w:t>
      </w:r>
      <w:r>
        <w:t xml:space="preserve"> </w:t>
      </w:r>
      <w:hyperlink r:id="rId174">
        <w:r>
          <w:rPr>
            <w:rStyle w:val="Hyperlink"/>
          </w:rPr>
          <w:t xml:space="preserve">https://doi.org/10.7554/eLife.33399</w:t>
        </w:r>
      </w:hyperlink>
      <w:r>
        <w:t xml:space="preserve">.</w:t>
      </w:r>
    </w:p>
    <w:bookmarkEnd w:id="175"/>
    <w:bookmarkStart w:id="177" w:name="ref-R-bindrcpp"/>
    <w:p>
      <w:pPr>
        <w:pStyle w:val="Bibliography"/>
      </w:pPr>
      <w:r>
        <w:t xml:space="preserve">Müller, Kirill. 2018.</w:t>
      </w:r>
      <w:r>
        <w:t xml:space="preserve"> </w:t>
      </w:r>
      <w:r>
        <w:rPr>
          <w:i/>
        </w:rPr>
        <w:t xml:space="preserve">Bindrcpp: An ’Rcpp’ Interface to Active Bindings</w:t>
      </w:r>
      <w:r>
        <w:t xml:space="preserve">.</w:t>
      </w:r>
      <w:r>
        <w:t xml:space="preserve"> </w:t>
      </w:r>
      <w:hyperlink r:id="rId176">
        <w:r>
          <w:rPr>
            <w:rStyle w:val="Hyperlink"/>
          </w:rPr>
          <w:t xml:space="preserve">https://CRAN.R-project.org/package=bindrcpp</w:t>
        </w:r>
      </w:hyperlink>
      <w:r>
        <w:t xml:space="preserve">.</w:t>
      </w:r>
    </w:p>
    <w:bookmarkEnd w:id="177"/>
    <w:bookmarkStart w:id="179" w:name="ref-R-tibble"/>
    <w:p>
      <w:pPr>
        <w:pStyle w:val="Bibliography"/>
      </w:pPr>
      <w:r>
        <w:t xml:space="preserve">Müller, Kirill, and Hadley Wickham. 2019.</w:t>
      </w:r>
      <w:r>
        <w:t xml:space="preserve"> </w:t>
      </w:r>
      <w:r>
        <w:rPr>
          <w:i/>
        </w:rPr>
        <w:t xml:space="preserve">Tibble: Simple Data Frames</w:t>
      </w:r>
      <w:r>
        <w:t xml:space="preserve">.</w:t>
      </w:r>
      <w:r>
        <w:t xml:space="preserve"> </w:t>
      </w:r>
      <w:hyperlink r:id="rId178">
        <w:r>
          <w:rPr>
            <w:rStyle w:val="Hyperlink"/>
          </w:rPr>
          <w:t xml:space="preserve">https://CRAN.R-project.org/package=tibble</w:t>
        </w:r>
      </w:hyperlink>
      <w:r>
        <w:t xml:space="preserve">.</w:t>
      </w:r>
    </w:p>
    <w:bookmarkEnd w:id="179"/>
    <w:bookmarkStart w:id="181" w:name="ref-R-RSQLite"/>
    <w:p>
      <w:pPr>
        <w:pStyle w:val="Bibliography"/>
      </w:pPr>
      <w:r>
        <w:t xml:space="preserve">Müller, Kirill, Hadley Wickham, David A. James, and Seth Falcon. 2018.</w:t>
      </w:r>
      <w:r>
        <w:t xml:space="preserve"> </w:t>
      </w:r>
      <w:r>
        <w:rPr>
          <w:i/>
        </w:rPr>
        <w:t xml:space="preserve">RSQLite: ’SQLite’ Interface for R</w:t>
      </w:r>
      <w:r>
        <w:t xml:space="preserve">.</w:t>
      </w:r>
      <w:r>
        <w:t xml:space="preserve"> </w:t>
      </w:r>
      <w:hyperlink r:id="rId180">
        <w:r>
          <w:rPr>
            <w:rStyle w:val="Hyperlink"/>
          </w:rPr>
          <w:t xml:space="preserve">https://CRAN.R-project.org/package=RSQLite</w:t>
        </w:r>
      </w:hyperlink>
      <w:r>
        <w:t xml:space="preserve">.</w:t>
      </w:r>
    </w:p>
    <w:bookmarkEnd w:id="181"/>
    <w:bookmarkStart w:id="183" w:name="ref-nanao_structural_2014"/>
    <w:p>
      <w:pPr>
        <w:pStyle w:val="Bibliography"/>
      </w:pPr>
      <w:r>
        <w:t xml:space="preserve">Nanao, Max H., Thomas Vinos-Poyo, Géraldine Brunoud, Emmanuel Thévenon, Meryl Mazzoleni, David Mast, Stéphanie Lainé, et al. 2014. “Structural Basis for Oligomerization of Auxin Transcriptional Regulators.”</w:t>
      </w:r>
      <w:r>
        <w:t xml:space="preserve"> </w:t>
      </w:r>
      <w:r>
        <w:rPr>
          <w:i/>
        </w:rPr>
        <w:t xml:space="preserve">Nature Communications</w:t>
      </w:r>
      <w:r>
        <w:t xml:space="preserve"> </w:t>
      </w:r>
      <w:r>
        <w:t xml:space="preserve">5: 3617.</w:t>
      </w:r>
      <w:r>
        <w:t xml:space="preserve"> </w:t>
      </w:r>
      <w:hyperlink r:id="rId182">
        <w:r>
          <w:rPr>
            <w:rStyle w:val="Hyperlink"/>
          </w:rPr>
          <w:t xml:space="preserve">https://doi.org/10.1038/ncomms4617</w:t>
        </w:r>
      </w:hyperlink>
      <w:r>
        <w:t xml:space="preserve">.</w:t>
      </w:r>
    </w:p>
    <w:bookmarkEnd w:id="183"/>
    <w:bookmarkStart w:id="184" w:name="ref-nei_mathematical_1979"/>
    <w:p>
      <w:pPr>
        <w:pStyle w:val="Bibliography"/>
      </w:pPr>
      <w:r>
        <w:t xml:space="preserve">Nei, M, and W H Li. 1979. “Mathematical Model for Studying Genetic Variation in Terms of Restriction Endonucleases.”</w:t>
      </w:r>
      <w:r>
        <w:t xml:space="preserve"> </w:t>
      </w:r>
      <w:r>
        <w:rPr>
          <w:i/>
        </w:rPr>
        <w:t xml:space="preserve">Proceedings of the National Academy of Sciences of the United States of America</w:t>
      </w:r>
      <w:r>
        <w:t xml:space="preserve"> </w:t>
      </w:r>
      <w:r>
        <w:t xml:space="preserve">76 (10): 5269–73.</w:t>
      </w:r>
    </w:p>
    <w:bookmarkEnd w:id="184"/>
    <w:bookmarkStart w:id="186" w:name="ref-nelson_snpgenie_2015"/>
    <w:p>
      <w:pPr>
        <w:pStyle w:val="Bibliography"/>
      </w:pPr>
      <w:r>
        <w:t xml:space="preserve">Nelson, Chase W., Louise H. Moncla, and Austin L. Hughes. 2015. “SNPGenie: Estimating Evolutionary Parameters to Detect Natural Selection Using Pooled Next-Generation Sequencing Data.”</w:t>
      </w:r>
      <w:r>
        <w:t xml:space="preserve"> </w:t>
      </w:r>
      <w:r>
        <w:rPr>
          <w:i/>
        </w:rPr>
        <w:t xml:space="preserve">Bioinformatics</w:t>
      </w:r>
      <w:r>
        <w:t xml:space="preserve"> </w:t>
      </w:r>
      <w:r>
        <w:t xml:space="preserve">31 (22): 3709–11.</w:t>
      </w:r>
      <w:r>
        <w:t xml:space="preserve"> </w:t>
      </w:r>
      <w:hyperlink r:id="rId185">
        <w:r>
          <w:rPr>
            <w:rStyle w:val="Hyperlink"/>
          </w:rPr>
          <w:t xml:space="preserve">https://doi.org/10.1093/bioinformatics/btv449</w:t>
        </w:r>
      </w:hyperlink>
      <w:r>
        <w:t xml:space="preserve">.</w:t>
      </w:r>
    </w:p>
    <w:bookmarkEnd w:id="186"/>
    <w:bookmarkStart w:id="188" w:name="ref-R-RColorBrewer"/>
    <w:p>
      <w:pPr>
        <w:pStyle w:val="Bibliography"/>
      </w:pPr>
      <w:r>
        <w:t xml:space="preserve">Neuwirth, Erich. 2014.</w:t>
      </w:r>
      <w:r>
        <w:t xml:space="preserve"> </w:t>
      </w:r>
      <w:r>
        <w:rPr>
          <w:i/>
        </w:rPr>
        <w:t xml:space="preserve">RColorBrewer: ColorBrewer Palettes</w:t>
      </w:r>
      <w:r>
        <w:t xml:space="preserve">.</w:t>
      </w:r>
      <w:r>
        <w:t xml:space="preserve"> </w:t>
      </w:r>
      <w:hyperlink r:id="rId187">
        <w:r>
          <w:rPr>
            <w:rStyle w:val="Hyperlink"/>
          </w:rPr>
          <w:t xml:space="preserve">https://CRAN.R-project.org/package=RColorBrewer</w:t>
        </w:r>
      </w:hyperlink>
      <w:r>
        <w:t xml:space="preserve">.</w:t>
      </w:r>
    </w:p>
    <w:bookmarkEnd w:id="188"/>
    <w:bookmarkStart w:id="190" w:name="ref-nieduszynski_sequence_2011"/>
    <w:p>
      <w:pPr>
        <w:pStyle w:val="Bibliography"/>
      </w:pPr>
      <w:r>
        <w:t xml:space="preserve">Nieduszynski, Conrad A., and Gianni Liti. 2011. “From Sequence to Function: Insights from Natural Variation in Budding Yeasts.”</w:t>
      </w:r>
      <w:r>
        <w:t xml:space="preserve"> </w:t>
      </w:r>
      <w:r>
        <w:rPr>
          <w:i/>
        </w:rPr>
        <w:t xml:space="preserve">Biochimica et Biophysica Acta</w:t>
      </w:r>
      <w:r>
        <w:t xml:space="preserve"> </w:t>
      </w:r>
      <w:r>
        <w:t xml:space="preserve">1810 (10): 959–66.</w:t>
      </w:r>
      <w:r>
        <w:t xml:space="preserve"> </w:t>
      </w:r>
      <w:hyperlink r:id="rId189">
        <w:r>
          <w:rPr>
            <w:rStyle w:val="Hyperlink"/>
          </w:rPr>
          <w:t xml:space="preserve">https://doi.org/10.1016/j.bbagen.2011.02.004</w:t>
        </w:r>
      </w:hyperlink>
      <w:r>
        <w:t xml:space="preserve">.</w:t>
      </w:r>
    </w:p>
    <w:bookmarkEnd w:id="190"/>
    <w:bookmarkStart w:id="192" w:name="ref-nordborg_pattern_2005"/>
    <w:p>
      <w:pPr>
        <w:pStyle w:val="Bibliography"/>
      </w:pPr>
      <w:r>
        <w:t xml:space="preserve">Nordborg, Magnus, Tina T Hu, Yoko Ishino, Jinal Jhaveri, Christopher Toomajian, Honggang Zheng, Erica Bakker, et al. 2005. “The Pattern of Polymorphism in Arabidopsis Thaliana.”</w:t>
      </w:r>
      <w:r>
        <w:t xml:space="preserve"> </w:t>
      </w:r>
      <w:r>
        <w:rPr>
          <w:i/>
        </w:rPr>
        <w:t xml:space="preserve">PLoS Biol</w:t>
      </w:r>
      <w:r>
        <w:t xml:space="preserve"> </w:t>
      </w:r>
      <w:r>
        <w:t xml:space="preserve">3 (7): e196.</w:t>
      </w:r>
      <w:r>
        <w:t xml:space="preserve"> </w:t>
      </w:r>
      <w:hyperlink r:id="rId191">
        <w:r>
          <w:rPr>
            <w:rStyle w:val="Hyperlink"/>
          </w:rPr>
          <w:t xml:space="preserve">https://doi.org/10.1371/journal.pbio.0030196</w:t>
        </w:r>
      </w:hyperlink>
      <w:r>
        <w:t xml:space="preserve">.</w:t>
      </w:r>
    </w:p>
    <w:bookmarkEnd w:id="192"/>
    <w:bookmarkStart w:id="194" w:name="ref-overvoorde_functional_2005"/>
    <w:p>
      <w:pPr>
        <w:pStyle w:val="Bibliography"/>
      </w:pPr>
      <w:r>
        <w:t xml:space="preserve">Overvoorde, Paul J., Yoko Okushima, José M. Alonso, April Chan, Charlie Chang, Joseph R. Ecker, Beth Hughes, et al. 2005. “Functional Genomic Analysis of the AUXIN/INDOLE-3-ACETIC ACID Gene Family Members in Arabidopsis Thaliana.”</w:t>
      </w:r>
      <w:r>
        <w:t xml:space="preserve"> </w:t>
      </w:r>
      <w:r>
        <w:rPr>
          <w:i/>
        </w:rPr>
        <w:t xml:space="preserve">The Plant Cell</w:t>
      </w:r>
      <w:r>
        <w:t xml:space="preserve"> </w:t>
      </w:r>
      <w:r>
        <w:t xml:space="preserve">17 (12): 3282–3300.</w:t>
      </w:r>
      <w:r>
        <w:t xml:space="preserve"> </w:t>
      </w:r>
      <w:hyperlink r:id="rId193">
        <w:r>
          <w:rPr>
            <w:rStyle w:val="Hyperlink"/>
          </w:rPr>
          <w:t xml:space="preserve">https://doi.org/10.1105/tpc.105.036723</w:t>
        </w:r>
      </w:hyperlink>
      <w:r>
        <w:t xml:space="preserve">.</w:t>
      </w:r>
    </w:p>
    <w:bookmarkEnd w:id="194"/>
    <w:bookmarkStart w:id="195" w:name="ref-R-Biostrings"/>
    <w:p>
      <w:pPr>
        <w:pStyle w:val="Bibliography"/>
      </w:pPr>
      <w:r>
        <w:t xml:space="preserve">Pagès, H., P. Aboyoun, R. Gentleman, and S. DebRoy. 2019.</w:t>
      </w:r>
      <w:r>
        <w:t xml:space="preserve"> </w:t>
      </w:r>
      <w:r>
        <w:rPr>
          <w:i/>
        </w:rPr>
        <w:t xml:space="preserve">Biostrings: Efficient Manipulation of Biological Strings</w:t>
      </w:r>
      <w:r>
        <w:t xml:space="preserve">.</w:t>
      </w:r>
    </w:p>
    <w:bookmarkEnd w:id="195"/>
    <w:bookmarkStart w:id="196" w:name="ref-R-IRanges"/>
    <w:p>
      <w:pPr>
        <w:pStyle w:val="Bibliography"/>
      </w:pPr>
      <w:r>
        <w:t xml:space="preserve">Pagès, H., P. Aboyoun, and M. Lawrence. 2018.</w:t>
      </w:r>
      <w:r>
        <w:t xml:space="preserve"> </w:t>
      </w:r>
      <w:r>
        <w:rPr>
          <w:i/>
        </w:rPr>
        <w:t xml:space="preserve">IRanges: Infrastructure for Manipulating Intervals on Sequences</w:t>
      </w:r>
      <w:r>
        <w:t xml:space="preserve">.</w:t>
      </w:r>
    </w:p>
    <w:bookmarkEnd w:id="196"/>
    <w:bookmarkStart w:id="197" w:name="ref-R-XVector"/>
    <w:p>
      <w:pPr>
        <w:pStyle w:val="Bibliography"/>
      </w:pPr>
      <w:r>
        <w:t xml:space="preserve">Pagès, Hervé, and Patrick Aboyoun. 2018.</w:t>
      </w:r>
      <w:r>
        <w:t xml:space="preserve"> </w:t>
      </w:r>
      <w:r>
        <w:rPr>
          <w:i/>
        </w:rPr>
        <w:t xml:space="preserve">XVector: Representation and Manipulation of External Sequences</w:t>
      </w:r>
      <w:r>
        <w:t xml:space="preserve">.</w:t>
      </w:r>
    </w:p>
    <w:bookmarkEnd w:id="197"/>
    <w:bookmarkStart w:id="198" w:name="ref-R-S4Vectors"/>
    <w:p>
      <w:pPr>
        <w:pStyle w:val="Bibliography"/>
      </w:pPr>
      <w:r>
        <w:t xml:space="preserve">Pagès, H., M. Lawrence, and P. Aboyoun. 2018.</w:t>
      </w:r>
      <w:r>
        <w:t xml:space="preserve"> </w:t>
      </w:r>
      <w:r>
        <w:rPr>
          <w:i/>
        </w:rPr>
        <w:t xml:space="preserve">S4Vectors: S4 Implementation of Vector-Like and List-Like Objects</w:t>
      </w:r>
      <w:r>
        <w:t xml:space="preserve">.</w:t>
      </w:r>
    </w:p>
    <w:bookmarkEnd w:id="198"/>
    <w:bookmarkStart w:id="200" w:name="ref-R-ape"/>
    <w:p>
      <w:pPr>
        <w:pStyle w:val="Bibliography"/>
      </w:pPr>
      <w:r>
        <w:t xml:space="preserve">Paradis, Emmanuel, Simon Blomberg, Ben Bolker, Joseph Brown, Julien Claude, Hoa Sien Cuong, Richard Desper, et al. 2018.</w:t>
      </w:r>
      <w:r>
        <w:t xml:space="preserve"> </w:t>
      </w:r>
      <w:r>
        <w:rPr>
          <w:i/>
        </w:rPr>
        <w:t xml:space="preserve">Ape: Analyses of Phylogenetics and Evolution</w:t>
      </w:r>
      <w:r>
        <w:t xml:space="preserve">.</w:t>
      </w:r>
      <w:r>
        <w:t xml:space="preserve"> </w:t>
      </w:r>
      <w:hyperlink r:id="rId199">
        <w:r>
          <w:rPr>
            <w:rStyle w:val="Hyperlink"/>
          </w:rPr>
          <w:t xml:space="preserve">https://CRAN.R-project.org/package=ape</w:t>
        </w:r>
      </w:hyperlink>
      <w:r>
        <w:t xml:space="preserve">.</w:t>
      </w:r>
    </w:p>
    <w:bookmarkEnd w:id="200"/>
    <w:bookmarkStart w:id="202" w:name="ref-park_distributions_2017"/>
    <w:p>
      <w:pPr>
        <w:pStyle w:val="Bibliography"/>
      </w:pPr>
      <w:r>
        <w:t xml:space="preserve">Park, Briton, Matthew T. Rutter, Charles B. Fenster, V. Vaughan Symonds, Mark C. Ungerer, and Jeffrey P. Townsend. 2017. “Distributions of Mutational Effects and the Estimation of Directional Selection in Divergent Lineages of Arabidopsis Thaliana.”</w:t>
      </w:r>
      <w:r>
        <w:t xml:space="preserve"> </w:t>
      </w:r>
      <w:r>
        <w:rPr>
          <w:i/>
        </w:rPr>
        <w:t xml:space="preserve">Genetics</w:t>
      </w:r>
      <w:r>
        <w:t xml:space="preserve"> </w:t>
      </w:r>
      <w:r>
        <w:t xml:space="preserve">206 (4): 2105–17.</w:t>
      </w:r>
      <w:r>
        <w:t xml:space="preserve"> </w:t>
      </w:r>
      <w:hyperlink r:id="rId201">
        <w:r>
          <w:rPr>
            <w:rStyle w:val="Hyperlink"/>
          </w:rPr>
          <w:t xml:space="preserve">https://doi.org/10.1534/genetics.116.199190</w:t>
        </w:r>
      </w:hyperlink>
      <w:r>
        <w:t xml:space="preserve">.</w:t>
      </w:r>
    </w:p>
    <w:bookmarkEnd w:id="202"/>
    <w:bookmarkStart w:id="204" w:name="ref-parry_complex_2009"/>
    <w:p>
      <w:pPr>
        <w:pStyle w:val="Bibliography"/>
      </w:pPr>
      <w:r>
        <w:t xml:space="preserve">Parry, G., L. I. Calderon-Villalobos, M. Prigge, B. Peret, S. Dharmasiri, H. Itoh, E. Lechner, W. M. Gray, M. Bennett, and M. Estelle. 2009. “Complex Regulation of the TIR1/AFB Family of Auxin Receptors.”</w:t>
      </w:r>
      <w:r>
        <w:t xml:space="preserve"> </w:t>
      </w:r>
      <w:r>
        <w:rPr>
          <w:i/>
        </w:rPr>
        <w:t xml:space="preserve">Proceedings of the National Academy of Sciences</w:t>
      </w:r>
      <w:r>
        <w:t xml:space="preserve"> </w:t>
      </w:r>
      <w:r>
        <w:t xml:space="preserve">106 (52): 22540–5.</w:t>
      </w:r>
      <w:r>
        <w:t xml:space="preserve"> </w:t>
      </w:r>
      <w:hyperlink r:id="rId203">
        <w:r>
          <w:rPr>
            <w:rStyle w:val="Hyperlink"/>
          </w:rPr>
          <w:t xml:space="preserve">https://doi.org/10.1073/pnas.0911967106</w:t>
        </w:r>
      </w:hyperlink>
      <w:r>
        <w:t xml:space="preserve">.</w:t>
      </w:r>
    </w:p>
    <w:bookmarkEnd w:id="204"/>
    <w:bookmarkStart w:id="206" w:name="ref-pierre-jerome_functional_2016"/>
    <w:p>
      <w:pPr>
        <w:pStyle w:val="Bibliography"/>
      </w:pPr>
      <w:r>
        <w:t xml:space="preserve">Pierre-Jerome, Edith, Britney L. Moss, Amy Lanctot, Amber Hageman, and Jennifer L. Nemhauser. 2016. “Functional Analysis of Molecular Interactions in Synthetic Auxin Response Circuits.”</w:t>
      </w:r>
      <w:r>
        <w:t xml:space="preserve"> </w:t>
      </w:r>
      <w:r>
        <w:rPr>
          <w:i/>
        </w:rPr>
        <w:t xml:space="preserve">Proceedings of the National Academy of Sciences of the United States of America</w:t>
      </w:r>
      <w:r>
        <w:t xml:space="preserve"> </w:t>
      </w:r>
      <w:r>
        <w:t xml:space="preserve">113 (40): 11354–9.</w:t>
      </w:r>
      <w:r>
        <w:t xml:space="preserve"> </w:t>
      </w:r>
      <w:hyperlink r:id="rId205">
        <w:r>
          <w:rPr>
            <w:rStyle w:val="Hyperlink"/>
          </w:rPr>
          <w:t xml:space="preserve">https://doi.org/10.1073/pnas.1604379113</w:t>
        </w:r>
      </w:hyperlink>
      <w:r>
        <w:t xml:space="preserve">.</w:t>
      </w:r>
    </w:p>
    <w:bookmarkEnd w:id="206"/>
    <w:bookmarkStart w:id="208" w:name="ref-press_overdue_2014"/>
    <w:p>
      <w:pPr>
        <w:pStyle w:val="Bibliography"/>
      </w:pPr>
      <w:r>
        <w:t xml:space="preserve">Press, Maximilian O., Keisha D. Carlson, and Christine Queitsch. 2014. “The Overdue Promise of Short Tandem Repeat Variation for Heritability.”</w:t>
      </w:r>
      <w:r>
        <w:t xml:space="preserve"> </w:t>
      </w:r>
      <w:r>
        <w:rPr>
          <w:i/>
        </w:rPr>
        <w:t xml:space="preserve">Trends in Genetics: TIG</w:t>
      </w:r>
      <w:r>
        <w:t xml:space="preserve"> </w:t>
      </w:r>
      <w:r>
        <w:t xml:space="preserve">30 (11): 504–12.</w:t>
      </w:r>
      <w:r>
        <w:t xml:space="preserve"> </w:t>
      </w:r>
      <w:hyperlink r:id="rId207">
        <w:r>
          <w:rPr>
            <w:rStyle w:val="Hyperlink"/>
          </w:rPr>
          <w:t xml:space="preserve">https://doi.org/10.1016/j.tig.2014.07.008</w:t>
        </w:r>
      </w:hyperlink>
      <w:r>
        <w:t xml:space="preserve">.</w:t>
      </w:r>
    </w:p>
    <w:bookmarkEnd w:id="208"/>
    <w:bookmarkStart w:id="210" w:name="ref-prigge_arabidopsis_2016"/>
    <w:p>
      <w:pPr>
        <w:pStyle w:val="Bibliography"/>
      </w:pPr>
      <w:r>
        <w:t xml:space="preserve">Prigge, Michael J., Kathleen Greenham, Yi Zhang, Aaron Santner, Cristina Castillejo, Andrew M. Mutka, Ronan C. O’Malley, Joseph R. Ecker, Barbara N. Kunkel, and Mark Estelle. 2016. “The Arabidopsis Auxin Receptor F-Box Proteins AFB4 and AFB5 Are Required for Response to the Synthetic Auxin Picloram.”</w:t>
      </w:r>
      <w:r>
        <w:t xml:space="preserve"> </w:t>
      </w:r>
      <w:r>
        <w:rPr>
          <w:i/>
        </w:rPr>
        <w:t xml:space="preserve">G3: Genes|Genomes|Genetics</w:t>
      </w:r>
      <w:r>
        <w:t xml:space="preserve"> </w:t>
      </w:r>
      <w:r>
        <w:t xml:space="preserve">6 (5): 1383–90.</w:t>
      </w:r>
      <w:r>
        <w:t xml:space="preserve"> </w:t>
      </w:r>
      <w:hyperlink r:id="rId209">
        <w:r>
          <w:rPr>
            <w:rStyle w:val="Hyperlink"/>
          </w:rPr>
          <w:t xml:space="preserve">https://doi.org/10.1534/g3.115.025585</w:t>
        </w:r>
      </w:hyperlink>
      <w:r>
        <w:t xml:space="preserve">.</w:t>
      </w:r>
    </w:p>
    <w:bookmarkEnd w:id="210"/>
    <w:bookmarkStart w:id="212" w:name="ref-pluciennik_balcony_2018"/>
    <w:p>
      <w:pPr>
        <w:pStyle w:val="Bibliography"/>
      </w:pPr>
      <w:r>
        <w:t xml:space="preserve">Płuciennik, Alicja, Michał Stolarczyk, Maria Bzówka, Agata Raczyńska, Tomasz Magdziarz, and Artur Góra. 2018. “BALCONY: An R Package for MSA and Functional Compartments of Protein Variability Analysis.”</w:t>
      </w:r>
      <w:r>
        <w:t xml:space="preserve"> </w:t>
      </w:r>
      <w:r>
        <w:rPr>
          <w:i/>
        </w:rPr>
        <w:t xml:space="preserve">BMC Bioinformatics</w:t>
      </w:r>
      <w:r>
        <w:t xml:space="preserve"> </w:t>
      </w:r>
      <w:r>
        <w:t xml:space="preserve">19 (1): 300.</w:t>
      </w:r>
      <w:r>
        <w:t xml:space="preserve"> </w:t>
      </w:r>
      <w:hyperlink r:id="rId211">
        <w:r>
          <w:rPr>
            <w:rStyle w:val="Hyperlink"/>
          </w:rPr>
          <w:t xml:space="preserve">https://doi.org/10.1186/s12859-018-2294-z</w:t>
        </w:r>
      </w:hyperlink>
      <w:r>
        <w:t xml:space="preserve">.</w:t>
      </w:r>
    </w:p>
    <w:bookmarkEnd w:id="212"/>
    <w:bookmarkStart w:id="214" w:name="ref-rademacher_different_2012"/>
    <w:p>
      <w:pPr>
        <w:pStyle w:val="Bibliography"/>
      </w:pPr>
      <w:r>
        <w:t xml:space="preserve">Rademacher, Eike H., Annemarie S. Lokerse, Alexandra Schlereth, Cristina I. Llavata-Peris, Martin Bayer, Marika Kientz, Alejandra Freire Rios, et al. 2012. “Different Auxin Response Machineries Control Distinct Cell Fates in the Early Plant Embryo.”</w:t>
      </w:r>
      <w:r>
        <w:t xml:space="preserve"> </w:t>
      </w:r>
      <w:r>
        <w:rPr>
          <w:i/>
        </w:rPr>
        <w:t xml:space="preserve">Developmental Cell</w:t>
      </w:r>
      <w:r>
        <w:t xml:space="preserve"> </w:t>
      </w:r>
      <w:r>
        <w:t xml:space="preserve">22 (1): 211–22.</w:t>
      </w:r>
      <w:r>
        <w:t xml:space="preserve"> </w:t>
      </w:r>
      <w:hyperlink r:id="rId213">
        <w:r>
          <w:rPr>
            <w:rStyle w:val="Hyperlink"/>
          </w:rPr>
          <w:t xml:space="preserve">https://doi.org/10.1016/j.devcel.2011.10.026</w:t>
        </w:r>
      </w:hyperlink>
      <w:r>
        <w:t xml:space="preserve">.</w:t>
      </w:r>
    </w:p>
    <w:bookmarkEnd w:id="214"/>
    <w:bookmarkStart w:id="21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215">
        <w:r>
          <w:rPr>
            <w:rStyle w:val="Hyperlink"/>
          </w:rPr>
          <w:t xml:space="preserve">https://www.R-project.org/</w:t>
        </w:r>
      </w:hyperlink>
      <w:r>
        <w:t xml:space="preserve">.</w:t>
      </w:r>
    </w:p>
    <w:bookmarkEnd w:id="216"/>
    <w:bookmarkStart w:id="218" w:name="ref-remington_contrasting_2004"/>
    <w:p>
      <w:pPr>
        <w:pStyle w:val="Bibliography"/>
      </w:pPr>
      <w:r>
        <w:t xml:space="preserve">Remington, David L., Todd J. Vision, Thomas J. Guilfoyle, and Jason W. Reed. 2004. “Contrasting Modes of Diversification in the Aux/IAA and ARF Gene Families.”</w:t>
      </w:r>
      <w:r>
        <w:t xml:space="preserve"> </w:t>
      </w:r>
      <w:r>
        <w:rPr>
          <w:i/>
        </w:rPr>
        <w:t xml:space="preserve">Plant Physiology</w:t>
      </w:r>
      <w:r>
        <w:t xml:space="preserve"> </w:t>
      </w:r>
      <w:r>
        <w:t xml:space="preserve">135 (3): 1738–52.</w:t>
      </w:r>
      <w:r>
        <w:t xml:space="preserve"> </w:t>
      </w:r>
      <w:hyperlink r:id="rId217">
        <w:r>
          <w:rPr>
            <w:rStyle w:val="Hyperlink"/>
          </w:rPr>
          <w:t xml:space="preserve">https://doi.org/10.1104/pp.104.039669</w:t>
        </w:r>
      </w:hyperlink>
      <w:r>
        <w:t xml:space="preserve">.</w:t>
      </w:r>
    </w:p>
    <w:bookmarkEnd w:id="218"/>
    <w:bookmarkStart w:id="220" w:name="ref-ronquist_mrbayes_2003"/>
    <w:p>
      <w:pPr>
        <w:pStyle w:val="Bibliography"/>
      </w:pPr>
      <w:r>
        <w:t xml:space="preserve">Ronquist, F., and J. P. Huelsenbeck. 2003. “MrBayes 3: Bayesian Phylogenetic Inference Under Mixed Models.”</w:t>
      </w:r>
      <w:r>
        <w:t xml:space="preserve"> </w:t>
      </w:r>
      <w:r>
        <w:rPr>
          <w:i/>
        </w:rPr>
        <w:t xml:space="preserve">Bioinformatics</w:t>
      </w:r>
      <w:r>
        <w:t xml:space="preserve"> </w:t>
      </w:r>
      <w:r>
        <w:t xml:space="preserve">19 (12): 1572–4.</w:t>
      </w:r>
      <w:r>
        <w:t xml:space="preserve"> </w:t>
      </w:r>
      <w:hyperlink r:id="rId219">
        <w:r>
          <w:rPr>
            <w:rStyle w:val="Hyperlink"/>
          </w:rPr>
          <w:t xml:space="preserve">https://doi.org/10.1093/bioinformatics/btg180</w:t>
        </w:r>
      </w:hyperlink>
      <w:r>
        <w:t xml:space="preserve">.</w:t>
      </w:r>
    </w:p>
    <w:bookmarkEnd w:id="220"/>
    <w:bookmarkStart w:id="222" w:name="ref-starita_variant_2017"/>
    <w:p>
      <w:pPr>
        <w:pStyle w:val="Bibliography"/>
      </w:pPr>
      <w:r>
        <w:t xml:space="preserve">Starita, Lea M., Nadav Ahituv, Maitreya J. Dunham, Jacob O. Kitzman, Frederick P. Roth, Georg Seelig, Jay Shendure, and Douglas M. Fowler. 2017. “Variant Interpretation: Functional Assays to the Rescue.”</w:t>
      </w:r>
      <w:r>
        <w:t xml:space="preserve"> </w:t>
      </w:r>
      <w:r>
        <w:rPr>
          <w:i/>
        </w:rPr>
        <w:t xml:space="preserve">The American Journal of Human Genetics</w:t>
      </w:r>
      <w:r>
        <w:t xml:space="preserve"> </w:t>
      </w:r>
      <w:r>
        <w:t xml:space="preserve">101 (3): 315–25.</w:t>
      </w:r>
      <w:r>
        <w:t xml:space="preserve"> </w:t>
      </w:r>
      <w:hyperlink r:id="rId221">
        <w:r>
          <w:rPr>
            <w:rStyle w:val="Hyperlink"/>
          </w:rPr>
          <w:t xml:space="preserve">https://doi.org/10.1016/j.ajhg.2017.07.014</w:t>
        </w:r>
      </w:hyperlink>
      <w:r>
        <w:t xml:space="preserve">.</w:t>
      </w:r>
    </w:p>
    <w:bookmarkEnd w:id="222"/>
    <w:bookmarkStart w:id="224" w:name="ref-szemenyei_topless_2008"/>
    <w:p>
      <w:pPr>
        <w:pStyle w:val="Bibliography"/>
      </w:pPr>
      <w:r>
        <w:t xml:space="preserve">Szemenyei, Heidi, Mike Hannon, and Jeff A. Long. 2008. “TOPLESS Mediates Auxin-Dependent Transcriptional Repression During Arabidopsis Embryogenesis.”</w:t>
      </w:r>
      <w:r>
        <w:t xml:space="preserve"> </w:t>
      </w:r>
      <w:r>
        <w:rPr>
          <w:i/>
        </w:rPr>
        <w:t xml:space="preserve">Science</w:t>
      </w:r>
      <w:r>
        <w:t xml:space="preserve"> </w:t>
      </w:r>
      <w:r>
        <w:t xml:space="preserve">319 (5868): 1384–6.</w:t>
      </w:r>
      <w:r>
        <w:t xml:space="preserve"> </w:t>
      </w:r>
      <w:hyperlink r:id="rId223">
        <w:r>
          <w:rPr>
            <w:rStyle w:val="Hyperlink"/>
          </w:rPr>
          <w:t xml:space="preserve">https://doi.org/10.1126/science.1151461</w:t>
        </w:r>
      </w:hyperlink>
      <w:r>
        <w:t xml:space="preserve">.</w:t>
      </w:r>
    </w:p>
    <w:bookmarkEnd w:id="224"/>
    <w:bookmarkStart w:id="226" w:name="ref-tan_mechanism_2007"/>
    <w:p>
      <w:pPr>
        <w:pStyle w:val="Bibliography"/>
      </w:pPr>
      <w:r>
        <w:t xml:space="preserve">Tan, Xu, Luz Irina A. Calderon-Villalobos, Michal Sharon, Changxue Zheng, Carol V. Robinson, Mark Estelle, and Ning Zheng. 2007. “Mechanism of Auxin Perception by the TIR1 Ubiquitin Ligase.”</w:t>
      </w:r>
      <w:r>
        <w:t xml:space="preserve"> </w:t>
      </w:r>
      <w:r>
        <w:rPr>
          <w:i/>
        </w:rPr>
        <w:t xml:space="preserve">Nature</w:t>
      </w:r>
      <w:r>
        <w:t xml:space="preserve"> </w:t>
      </w:r>
      <w:r>
        <w:t xml:space="preserve">446 (7136): 640–5.</w:t>
      </w:r>
      <w:r>
        <w:t xml:space="preserve"> </w:t>
      </w:r>
      <w:hyperlink r:id="rId225">
        <w:r>
          <w:rPr>
            <w:rStyle w:val="Hyperlink"/>
          </w:rPr>
          <w:t xml:space="preserve">https://doi.org/10.1038/nature05731</w:t>
        </w:r>
      </w:hyperlink>
      <w:r>
        <w:t xml:space="preserve">.</w:t>
      </w:r>
    </w:p>
    <w:bookmarkEnd w:id="226"/>
    <w:bookmarkStart w:id="227" w:name="ref-R-BiocGenerics"/>
    <w:p>
      <w:pPr>
        <w:pStyle w:val="Bibliography"/>
      </w:pPr>
      <w:r>
        <w:t xml:space="preserve">Team, The Bioconductor Dev. 2018.</w:t>
      </w:r>
      <w:r>
        <w:t xml:space="preserve"> </w:t>
      </w:r>
      <w:r>
        <w:rPr>
          <w:i/>
        </w:rPr>
        <w:t xml:space="preserve">BiocGenerics: S4 Generic Functions for Bioconductor</w:t>
      </w:r>
      <w:r>
        <w:t xml:space="preserve">.</w:t>
      </w:r>
    </w:p>
    <w:bookmarkEnd w:id="227"/>
    <w:bookmarkStart w:id="229" w:name="ref-R-XML"/>
    <w:p>
      <w:pPr>
        <w:pStyle w:val="Bibliography"/>
      </w:pPr>
      <w:r>
        <w:t xml:space="preserve">Temple Lang, Duncan, and the CRAN Team. 2018.</w:t>
      </w:r>
      <w:r>
        <w:t xml:space="preserve"> </w:t>
      </w:r>
      <w:r>
        <w:rPr>
          <w:i/>
        </w:rPr>
        <w:t xml:space="preserve">XML: Tools for Parsing and Generating Xml Within R and S-Plus</w:t>
      </w:r>
      <w:r>
        <w:t xml:space="preserve">.</w:t>
      </w:r>
      <w:r>
        <w:t xml:space="preserve"> </w:t>
      </w:r>
      <w:hyperlink r:id="rId228">
        <w:r>
          <w:rPr>
            <w:rStyle w:val="Hyperlink"/>
          </w:rPr>
          <w:t xml:space="preserve">https://CRAN.R-project.org/package=XML</w:t>
        </w:r>
      </w:hyperlink>
      <w:r>
        <w:t xml:space="preserve">.</w:t>
      </w:r>
    </w:p>
    <w:bookmarkEnd w:id="229"/>
    <w:bookmarkStart w:id="231" w:name="X30666c0eec28e2bdef91a2c7241a28e2d5f05f9"/>
    <w:p>
      <w:pPr>
        <w:pStyle w:val="Bibliography"/>
      </w:pPr>
      <w:r>
        <w:t xml:space="preserve">The Arabidopsis Genome Initiative. 2000. “Analysis of the Genome Sequence of the Flowering Plant</w:t>
      </w:r>
      <w:r>
        <w:t xml:space="preserve"> </w:t>
      </w:r>
      <w:r>
        <w:rPr>
          <w:i/>
        </w:rPr>
        <w:t xml:space="preserve">Arabidopsis</w:t>
      </w:r>
      <w:r>
        <w:t xml:space="preserve"> </w:t>
      </w:r>
      <w:r>
        <w:rPr>
          <w:i/>
        </w:rPr>
        <w:t xml:space="preserve">Thaliana</w:t>
      </w:r>
      <w:r>
        <w:t xml:space="preserve">.”</w:t>
      </w:r>
      <w:r>
        <w:t xml:space="preserve"> </w:t>
      </w:r>
      <w:r>
        <w:rPr>
          <w:i/>
        </w:rPr>
        <w:t xml:space="preserve">Nature</w:t>
      </w:r>
      <w:r>
        <w:t xml:space="preserve"> </w:t>
      </w:r>
      <w:r>
        <w:t xml:space="preserve">408 (6814): 796–815.</w:t>
      </w:r>
      <w:r>
        <w:t xml:space="preserve"> </w:t>
      </w:r>
      <w:hyperlink r:id="rId230">
        <w:r>
          <w:rPr>
            <w:rStyle w:val="Hyperlink"/>
          </w:rPr>
          <w:t xml:space="preserve">https://doi.org/10.1038/35048692</w:t>
        </w:r>
      </w:hyperlink>
      <w:r>
        <w:t xml:space="preserve">.</w:t>
      </w:r>
    </w:p>
    <w:bookmarkEnd w:id="231"/>
    <w:bookmarkStart w:id="232" w:name="ref-tiwari_roles_2003"/>
    <w:p>
      <w:pPr>
        <w:pStyle w:val="Bibliography"/>
      </w:pPr>
      <w:r>
        <w:t xml:space="preserve">Tiwari, Shiv B., Gretchen Hagen, and Tom Guilfoyle. 2003. “The Roles of Auxin Response Factor Domains in Auxin-Responsive Transcription.”</w:t>
      </w:r>
      <w:r>
        <w:t xml:space="preserve"> </w:t>
      </w:r>
      <w:r>
        <w:rPr>
          <w:i/>
        </w:rPr>
        <w:t xml:space="preserve">The Plant Cell</w:t>
      </w:r>
      <w:r>
        <w:t xml:space="preserve"> </w:t>
      </w:r>
      <w:r>
        <w:t xml:space="preserve">15 (2): 533–43.</w:t>
      </w:r>
    </w:p>
    <w:bookmarkEnd w:id="232"/>
    <w:bookmarkStart w:id="234" w:name="ref-tiwari_aux_2004"/>
    <w:p>
      <w:pPr>
        <w:pStyle w:val="Bibliography"/>
      </w:pPr>
      <w:r>
        <w:t xml:space="preserve">Tiwari, Shiv B., Gretchen Hagen, and Tom J. Guilfoyle. 2004. “Aux/IAA Proteins Contain a Potent Transcriptional Repression Domain.”</w:t>
      </w:r>
      <w:r>
        <w:t xml:space="preserve"> </w:t>
      </w:r>
      <w:r>
        <w:rPr>
          <w:i/>
        </w:rPr>
        <w:t xml:space="preserve">The Plant Cell</w:t>
      </w:r>
      <w:r>
        <w:t xml:space="preserve"> </w:t>
      </w:r>
      <w:r>
        <w:t xml:space="preserve">16 (2): 533–43.</w:t>
      </w:r>
      <w:r>
        <w:t xml:space="preserve"> </w:t>
      </w:r>
      <w:hyperlink r:id="rId233">
        <w:r>
          <w:rPr>
            <w:rStyle w:val="Hyperlink"/>
          </w:rPr>
          <w:t xml:space="preserve">https://doi.org/10.1105/tpc.017384</w:t>
        </w:r>
      </w:hyperlink>
      <w:r>
        <w:t xml:space="preserve">.</w:t>
      </w:r>
    </w:p>
    <w:bookmarkEnd w:id="234"/>
    <w:bookmarkStart w:id="236" w:name="ref-ulmasov_aux_1997"/>
    <w:p>
      <w:pPr>
        <w:pStyle w:val="Bibliography"/>
      </w:pPr>
      <w:r>
        <w:t xml:space="preserve">Ulmasov, T., J. Murfett, G. Hagen, and T. J. Guilfoyle. 1997. “Aux/IAA Proteins Repress Expression of Reporter Genes Containing Natural and Highly Active Synthetic Auxin Response Elements.”</w:t>
      </w:r>
      <w:r>
        <w:t xml:space="preserve"> </w:t>
      </w:r>
      <w:r>
        <w:rPr>
          <w:i/>
        </w:rPr>
        <w:t xml:space="preserve">The Plant Cell Online</w:t>
      </w:r>
      <w:r>
        <w:t xml:space="preserve"> </w:t>
      </w:r>
      <w:r>
        <w:t xml:space="preserve">9 (11): 1963–71.</w:t>
      </w:r>
      <w:r>
        <w:t xml:space="preserve"> </w:t>
      </w:r>
      <w:hyperlink r:id="rId235">
        <w:r>
          <w:rPr>
            <w:rStyle w:val="Hyperlink"/>
          </w:rPr>
          <w:t xml:space="preserve">https://doi.org/10.1105/tpc.9.11.1963</w:t>
        </w:r>
      </w:hyperlink>
      <w:r>
        <w:t xml:space="preserve">.</w:t>
      </w:r>
    </w:p>
    <w:bookmarkEnd w:id="236"/>
    <w:bookmarkStart w:id="238" w:name="ref-waese_eplant_2017"/>
    <w:p>
      <w:pPr>
        <w:pStyle w:val="Bibliography"/>
      </w:pPr>
      <w:r>
        <w:t xml:space="preserve">Waese, Jamie, Jim Fan, Asher Pasha, Hans Yu, Geoffrey Fucile, Ruian Shi, Matthew Cumming, et al. 2017. “ePlant: Visualizing and Exploring Multiple Levels of Data for Hypothesis Generation in Plant Biology.”</w:t>
      </w:r>
      <w:r>
        <w:t xml:space="preserve"> </w:t>
      </w:r>
      <w:r>
        <w:rPr>
          <w:i/>
        </w:rPr>
        <w:t xml:space="preserve">The Plant Cell</w:t>
      </w:r>
      <w:r>
        <w:t xml:space="preserve"> </w:t>
      </w:r>
      <w:r>
        <w:t xml:space="preserve">29 (8): 1806–21.</w:t>
      </w:r>
      <w:r>
        <w:t xml:space="preserve"> </w:t>
      </w:r>
      <w:hyperlink r:id="rId237">
        <w:r>
          <w:rPr>
            <w:rStyle w:val="Hyperlink"/>
          </w:rPr>
          <w:t xml:space="preserve">https://doi.org/10.1105/tpc.17.00073</w:t>
        </w:r>
      </w:hyperlink>
      <w:r>
        <w:t xml:space="preserve">.</w:t>
      </w:r>
    </w:p>
    <w:bookmarkEnd w:id="238"/>
    <w:bookmarkStart w:id="240" w:name="ref-R-ggseqlogo"/>
    <w:p>
      <w:pPr>
        <w:pStyle w:val="Bibliography"/>
      </w:pPr>
      <w:r>
        <w:t xml:space="preserve">Wagih, Omar. 2017.</w:t>
      </w:r>
      <w:r>
        <w:t xml:space="preserve"> </w:t>
      </w:r>
      <w:r>
        <w:rPr>
          <w:i/>
        </w:rPr>
        <w:t xml:space="preserve">Ggseqlogo: A ’Ggplot2’ Extension for Drawing Publication-Ready Sequence Logos</w:t>
      </w:r>
      <w:r>
        <w:t xml:space="preserve">.</w:t>
      </w:r>
      <w:r>
        <w:t xml:space="preserve"> </w:t>
      </w:r>
      <w:hyperlink r:id="rId239">
        <w:r>
          <w:rPr>
            <w:rStyle w:val="Hyperlink"/>
          </w:rPr>
          <w:t xml:space="preserve">https://CRAN.R-project.org/package=ggseqlogo</w:t>
        </w:r>
      </w:hyperlink>
      <w:r>
        <w:t xml:space="preserve">.</w:t>
      </w:r>
    </w:p>
    <w:bookmarkEnd w:id="240"/>
    <w:bookmarkStart w:id="242" w:name="ref-wang_genomic_2018"/>
    <w:p>
      <w:pPr>
        <w:pStyle w:val="Bibliography"/>
      </w:pPr>
      <w:r>
        <w:t xml:space="preserve">Wang, Wensheng, Ramil Mauleon, Zhiqiang Hu, Dmytro Chebotarov, Shuaishuai Tai, Zhichao Wu, Min Li, et al. 2018. “Genomic Variation in 3,010 Diverse Accessions of Asian Cultivated Rice.”</w:t>
      </w:r>
      <w:r>
        <w:t xml:space="preserve"> </w:t>
      </w:r>
      <w:r>
        <w:rPr>
          <w:i/>
        </w:rPr>
        <w:t xml:space="preserve">Nature</w:t>
      </w:r>
      <w:r>
        <w:t xml:space="preserve"> </w:t>
      </w:r>
      <w:r>
        <w:t xml:space="preserve">557 (7703): 43.</w:t>
      </w:r>
      <w:r>
        <w:t xml:space="preserve"> </w:t>
      </w:r>
      <w:hyperlink r:id="rId241">
        <w:r>
          <w:rPr>
            <w:rStyle w:val="Hyperlink"/>
          </w:rPr>
          <w:t xml:space="preserve">https://doi.org/10.1038/s41586-018-0063-9</w:t>
        </w:r>
      </w:hyperlink>
      <w:r>
        <w:t xml:space="preserve">.</w:t>
      </w:r>
    </w:p>
    <w:bookmarkEnd w:id="242"/>
    <w:bookmarkStart w:id="244" w:name="ref-weigel_1001_2009"/>
    <w:p>
      <w:pPr>
        <w:pStyle w:val="Bibliography"/>
      </w:pPr>
      <w:r>
        <w:t xml:space="preserve">Weigel, Detlef, and Richard Mott. 2009. “The 1001 Genomes Project for Arabidopsis Thaliana.”</w:t>
      </w:r>
      <w:r>
        <w:t xml:space="preserve"> </w:t>
      </w:r>
      <w:r>
        <w:rPr>
          <w:i/>
        </w:rPr>
        <w:t xml:space="preserve">Genome Biology</w:t>
      </w:r>
      <w:r>
        <w:t xml:space="preserve"> </w:t>
      </w:r>
      <w:r>
        <w:t xml:space="preserve">10 (5): 107.</w:t>
      </w:r>
      <w:r>
        <w:t xml:space="preserve"> </w:t>
      </w:r>
      <w:hyperlink r:id="rId243">
        <w:r>
          <w:rPr>
            <w:rStyle w:val="Hyperlink"/>
          </w:rPr>
          <w:t xml:space="preserve">https://doi.org/10.1186/gb-2009-10-5-107</w:t>
        </w:r>
      </w:hyperlink>
      <w:r>
        <w:t xml:space="preserve">.</w:t>
      </w:r>
    </w:p>
    <w:bookmarkEnd w:id="244"/>
    <w:bookmarkStart w:id="246" w:name="ref-whitehead_optimization_2012"/>
    <w:p>
      <w:pPr>
        <w:pStyle w:val="Bibliography"/>
      </w:pPr>
      <w:r>
        <w:t xml:space="preserve">Whitehead, Timothy A, Aaron Chevalier, Yifan Song, Cyrille Dreyfus, Sarel J Fleishman, Cecilia De Mattos, Chris A Myers, et al. 2012. “Optimization of Affinity, Specificity and Function of Designed Influenza Inhibitors Using Deep Sequencing.”</w:t>
      </w:r>
      <w:r>
        <w:t xml:space="preserve"> </w:t>
      </w:r>
      <w:r>
        <w:rPr>
          <w:i/>
        </w:rPr>
        <w:t xml:space="preserve">Nature Biotechnology</w:t>
      </w:r>
      <w:r>
        <w:t xml:space="preserve"> </w:t>
      </w:r>
      <w:r>
        <w:t xml:space="preserve">30 (6): 543–48.</w:t>
      </w:r>
      <w:r>
        <w:t xml:space="preserve"> </w:t>
      </w:r>
      <w:hyperlink r:id="rId245">
        <w:r>
          <w:rPr>
            <w:rStyle w:val="Hyperlink"/>
          </w:rPr>
          <w:t xml:space="preserve">https://doi.org/10.1038/nbt.2214</w:t>
        </w:r>
      </w:hyperlink>
      <w:r>
        <w:t xml:space="preserve">.</w:t>
      </w:r>
    </w:p>
    <w:bookmarkEnd w:id="246"/>
    <w:bookmarkStart w:id="248" w:name="ref-R-plyr"/>
    <w:p>
      <w:pPr>
        <w:pStyle w:val="Bibliography"/>
      </w:pPr>
      <w:r>
        <w:t xml:space="preserve">Wickham, Hadley. 2016.</w:t>
      </w:r>
      <w:r>
        <w:t xml:space="preserve"> </w:t>
      </w:r>
      <w:r>
        <w:rPr>
          <w:i/>
        </w:rPr>
        <w:t xml:space="preserve">Plyr: Tools for Splitting, Applying and Combining Data</w:t>
      </w:r>
      <w:r>
        <w:t xml:space="preserve">.</w:t>
      </w:r>
      <w:r>
        <w:t xml:space="preserve"> </w:t>
      </w:r>
      <w:hyperlink r:id="rId247">
        <w:r>
          <w:rPr>
            <w:rStyle w:val="Hyperlink"/>
          </w:rPr>
          <w:t xml:space="preserve">https://CRAN.R-project.org/package=plyr</w:t>
        </w:r>
      </w:hyperlink>
      <w:r>
        <w:t xml:space="preserve">.</w:t>
      </w:r>
    </w:p>
    <w:bookmarkEnd w:id="248"/>
    <w:bookmarkStart w:id="250" w:name="ref-R-reshape2"/>
    <w:p>
      <w:pPr>
        <w:pStyle w:val="Bibliography"/>
      </w:pPr>
      <w:r>
        <w:t xml:space="preserve">———. 2017a.</w:t>
      </w:r>
      <w:r>
        <w:t xml:space="preserve"> </w:t>
      </w:r>
      <w:r>
        <w:rPr>
          <w:i/>
        </w:rPr>
        <w:t xml:space="preserve">Reshape2: Flexibly Reshape Data: A Reboot of the Reshape Package</w:t>
      </w:r>
      <w:r>
        <w:t xml:space="preserve">.</w:t>
      </w:r>
      <w:r>
        <w:t xml:space="preserve"> </w:t>
      </w:r>
      <w:hyperlink r:id="rId249">
        <w:r>
          <w:rPr>
            <w:rStyle w:val="Hyperlink"/>
          </w:rPr>
          <w:t xml:space="preserve">https://CRAN.R-project.org/package=reshape2</w:t>
        </w:r>
      </w:hyperlink>
      <w:r>
        <w:t xml:space="preserve">.</w:t>
      </w:r>
    </w:p>
    <w:bookmarkEnd w:id="250"/>
    <w:bookmarkStart w:id="252" w:name="ref-R-tidyverse"/>
    <w:p>
      <w:pPr>
        <w:pStyle w:val="Bibliography"/>
      </w:pPr>
      <w:r>
        <w:t xml:space="preserve">———. 2017b.</w:t>
      </w:r>
      <w:r>
        <w:t xml:space="preserve"> </w:t>
      </w:r>
      <w:r>
        <w:rPr>
          <w:i/>
        </w:rPr>
        <w:t xml:space="preserve">Tidyverse: Easily Install and Load the ’Tidyverse’</w:t>
      </w:r>
      <w:r>
        <w:t xml:space="preserve">.</w:t>
      </w:r>
      <w:r>
        <w:t xml:space="preserve"> </w:t>
      </w:r>
      <w:hyperlink r:id="rId251">
        <w:r>
          <w:rPr>
            <w:rStyle w:val="Hyperlink"/>
          </w:rPr>
          <w:t xml:space="preserve">https://CRAN.R-project.org/package=tidyverse</w:t>
        </w:r>
      </w:hyperlink>
      <w:r>
        <w:t xml:space="preserve">.</w:t>
      </w:r>
    </w:p>
    <w:bookmarkEnd w:id="252"/>
    <w:bookmarkStart w:id="254" w:name="ref-R-forcats"/>
    <w:p>
      <w:pPr>
        <w:pStyle w:val="Bibliography"/>
      </w:pPr>
      <w:r>
        <w:t xml:space="preserve">———. 2018a.</w:t>
      </w:r>
      <w:r>
        <w:t xml:space="preserve"> </w:t>
      </w:r>
      <w:r>
        <w:rPr>
          <w:i/>
        </w:rPr>
        <w:t xml:space="preserve">Forcats: Tools for Working with Categorical Variables (Factors)</w:t>
      </w:r>
      <w:r>
        <w:t xml:space="preserve">.</w:t>
      </w:r>
      <w:r>
        <w:t xml:space="preserve"> </w:t>
      </w:r>
      <w:hyperlink r:id="rId253">
        <w:r>
          <w:rPr>
            <w:rStyle w:val="Hyperlink"/>
          </w:rPr>
          <w:t xml:space="preserve">https://CRAN.R-project.org/package=forcats</w:t>
        </w:r>
      </w:hyperlink>
      <w:r>
        <w:t xml:space="preserve">.</w:t>
      </w:r>
    </w:p>
    <w:bookmarkEnd w:id="254"/>
    <w:bookmarkStart w:id="256" w:name="ref-R-scales"/>
    <w:p>
      <w:pPr>
        <w:pStyle w:val="Bibliography"/>
      </w:pPr>
      <w:r>
        <w:t xml:space="preserve">———. 2018b.</w:t>
      </w:r>
      <w:r>
        <w:t xml:space="preserve"> </w:t>
      </w:r>
      <w:r>
        <w:rPr>
          <w:i/>
        </w:rPr>
        <w:t xml:space="preserve">Scales: Scale Functions for Visualization</w:t>
      </w:r>
      <w:r>
        <w:t xml:space="preserve">.</w:t>
      </w:r>
      <w:r>
        <w:t xml:space="preserve"> </w:t>
      </w:r>
      <w:hyperlink r:id="rId255">
        <w:r>
          <w:rPr>
            <w:rStyle w:val="Hyperlink"/>
          </w:rPr>
          <w:t xml:space="preserve">https://CRAN.R-project.org/package=scales</w:t>
        </w:r>
      </w:hyperlink>
      <w:r>
        <w:t xml:space="preserve">.</w:t>
      </w:r>
    </w:p>
    <w:bookmarkEnd w:id="256"/>
    <w:bookmarkStart w:id="258" w:name="ref-R-stringr"/>
    <w:p>
      <w:pPr>
        <w:pStyle w:val="Bibliography"/>
      </w:pPr>
      <w:r>
        <w:t xml:space="preserve">———. 2018c.</w:t>
      </w:r>
      <w:r>
        <w:t xml:space="preserve"> </w:t>
      </w:r>
      <w:r>
        <w:rPr>
          <w:i/>
        </w:rPr>
        <w:t xml:space="preserve">Stringr: Simple, Consistent Wrappers for Common String Operations</w:t>
      </w:r>
      <w:r>
        <w:t xml:space="preserve">.</w:t>
      </w:r>
      <w:r>
        <w:t xml:space="preserve"> </w:t>
      </w:r>
      <w:hyperlink r:id="rId257">
        <w:r>
          <w:rPr>
            <w:rStyle w:val="Hyperlink"/>
          </w:rPr>
          <w:t xml:space="preserve">https://CRAN.R-project.org/package=stringr</w:t>
        </w:r>
      </w:hyperlink>
      <w:r>
        <w:t xml:space="preserve">.</w:t>
      </w:r>
    </w:p>
    <w:bookmarkEnd w:id="258"/>
    <w:bookmarkStart w:id="260" w:name="ref-R-ggplot2"/>
    <w:p>
      <w:pPr>
        <w:pStyle w:val="Bibliography"/>
      </w:pPr>
      <w:r>
        <w:t xml:space="preserve">Wickham, Hadley, Winston Chang, Lionel Henry, Thomas Lin Pedersen, Kohske Takahashi, Claus Wilke, and Kara Woo. 2018.</w:t>
      </w:r>
      <w:r>
        <w:t xml:space="preserve"> </w:t>
      </w:r>
      <w:r>
        <w:rPr>
          <w:i/>
        </w:rPr>
        <w:t xml:space="preserve">Ggplot2: Create Elegant Data Visualisations Using the Grammar of Graphics</w:t>
      </w:r>
      <w:r>
        <w:t xml:space="preserve">.</w:t>
      </w:r>
      <w:r>
        <w:t xml:space="preserve"> </w:t>
      </w:r>
      <w:hyperlink r:id="rId259">
        <w:r>
          <w:rPr>
            <w:rStyle w:val="Hyperlink"/>
          </w:rPr>
          <w:t xml:space="preserve">https://CRAN.R-project.org/package=ggplot2</w:t>
        </w:r>
      </w:hyperlink>
      <w:r>
        <w:t xml:space="preserve">.</w:t>
      </w:r>
    </w:p>
    <w:bookmarkEnd w:id="260"/>
    <w:bookmarkStart w:id="262" w:name="ref-R-dplyr"/>
    <w:p>
      <w:pPr>
        <w:pStyle w:val="Bibliography"/>
      </w:pPr>
      <w:r>
        <w:t xml:space="preserve">Wickham, Hadley, Romain François, Lionel Henry, and Kirill Müller. 2018.</w:t>
      </w:r>
      <w:r>
        <w:t xml:space="preserve"> </w:t>
      </w:r>
      <w:r>
        <w:rPr>
          <w:i/>
        </w:rPr>
        <w:t xml:space="preserve">Dplyr: A Grammar of Data Manipulation</w:t>
      </w:r>
      <w:r>
        <w:t xml:space="preserve">.</w:t>
      </w:r>
      <w:r>
        <w:t xml:space="preserve"> </w:t>
      </w:r>
      <w:hyperlink r:id="rId261">
        <w:r>
          <w:rPr>
            <w:rStyle w:val="Hyperlink"/>
          </w:rPr>
          <w:t xml:space="preserve">https://CRAN.R-project.org/package=dplyr</w:t>
        </w:r>
      </w:hyperlink>
      <w:r>
        <w:t xml:space="preserve">.</w:t>
      </w:r>
    </w:p>
    <w:bookmarkEnd w:id="262"/>
    <w:bookmarkStart w:id="264" w:name="ref-R-tidyr"/>
    <w:p>
      <w:pPr>
        <w:pStyle w:val="Bibliography"/>
      </w:pPr>
      <w:r>
        <w:t xml:space="preserve">Wickham, Hadley, and Lionel Henry. 2018.</w:t>
      </w:r>
      <w:r>
        <w:t xml:space="preserve"> </w:t>
      </w:r>
      <w:r>
        <w:rPr>
          <w:i/>
        </w:rPr>
        <w:t xml:space="preserve">Tidyr: Easily Tidy Data with ’Spread()’ and ’Gather()’ Functions</w:t>
      </w:r>
      <w:r>
        <w:t xml:space="preserve">.</w:t>
      </w:r>
      <w:r>
        <w:t xml:space="preserve"> </w:t>
      </w:r>
      <w:hyperlink r:id="rId263">
        <w:r>
          <w:rPr>
            <w:rStyle w:val="Hyperlink"/>
          </w:rPr>
          <w:t xml:space="preserve">https://CRAN.R-project.org/package=tidyr</w:t>
        </w:r>
      </w:hyperlink>
      <w:r>
        <w:t xml:space="preserve">.</w:t>
      </w:r>
    </w:p>
    <w:bookmarkEnd w:id="264"/>
    <w:bookmarkStart w:id="266" w:name="ref-R-readr"/>
    <w:p>
      <w:pPr>
        <w:pStyle w:val="Bibliography"/>
      </w:pPr>
      <w:r>
        <w:t xml:space="preserve">Wickham, Hadley, Jim Hester, and Romain Francois. 2018.</w:t>
      </w:r>
      <w:r>
        <w:t xml:space="preserve"> </w:t>
      </w:r>
      <w:r>
        <w:rPr>
          <w:i/>
        </w:rPr>
        <w:t xml:space="preserve">Readr: Read Rectangular Text Data</w:t>
      </w:r>
      <w:r>
        <w:t xml:space="preserve">.</w:t>
      </w:r>
      <w:r>
        <w:t xml:space="preserve"> </w:t>
      </w:r>
      <w:hyperlink r:id="rId265">
        <w:r>
          <w:rPr>
            <w:rStyle w:val="Hyperlink"/>
          </w:rPr>
          <w:t xml:space="preserve">https://CRAN.R-project.org/package=readr</w:t>
        </w:r>
      </w:hyperlink>
      <w:r>
        <w:t xml:space="preserve">.</w:t>
      </w:r>
    </w:p>
    <w:bookmarkEnd w:id="266"/>
    <w:bookmarkStart w:id="268" w:name="ref-wilkins_evolutionary_2012"/>
    <w:p>
      <w:pPr>
        <w:pStyle w:val="Bibliography"/>
      </w:pPr>
      <w:r>
        <w:t xml:space="preserve">Wilkins, Angela, Serkan Erdin, Rhonald Lua, and Olivier Lichtarge. 2012. “Evolutionary Trace for Prediction and Redesign of Protein Functional Sites.”</w:t>
      </w:r>
      <w:r>
        <w:t xml:space="preserve"> </w:t>
      </w:r>
      <w:r>
        <w:rPr>
          <w:i/>
        </w:rPr>
        <w:t xml:space="preserve">Methods in Molecular Biology (Clifton, N.J.)</w:t>
      </w:r>
      <w:r>
        <w:t xml:space="preserve"> </w:t>
      </w:r>
      <w:r>
        <w:t xml:space="preserve">819: 29–42.</w:t>
      </w:r>
      <w:r>
        <w:t xml:space="preserve"> </w:t>
      </w:r>
      <w:hyperlink r:id="rId267">
        <w:r>
          <w:rPr>
            <w:rStyle w:val="Hyperlink"/>
          </w:rPr>
          <w:t xml:space="preserve">https://doi.org/10.1007/978-1-61779-465-0_3</w:t>
        </w:r>
      </w:hyperlink>
      <w:r>
        <w:t xml:space="preserve">.</w:t>
      </w:r>
    </w:p>
    <w:bookmarkEnd w:id="268"/>
    <w:bookmarkStart w:id="270" w:name="ref-winkler_variation_2017"/>
    <w:p>
      <w:pPr>
        <w:pStyle w:val="Bibliography"/>
      </w:pPr>
      <w:r>
        <w:t xml:space="preserve">Winkler, Martin, Michael Niemeyer, Antje Hellmuth, Philipp Janitza, Gideon Christ, Sophia L. Samodelov, Verona Wilde, et al. 2017. “Variation in Auxin Sensing Guides AUX/IAA Transcriptional Repressor Ubiquitylation and Destruction.”</w:t>
      </w:r>
      <w:r>
        <w:t xml:space="preserve"> </w:t>
      </w:r>
      <w:r>
        <w:rPr>
          <w:i/>
        </w:rPr>
        <w:t xml:space="preserve">Nature Communications</w:t>
      </w:r>
      <w:r>
        <w:t xml:space="preserve"> </w:t>
      </w:r>
      <w:r>
        <w:t xml:space="preserve">8 (June): 15706.</w:t>
      </w:r>
      <w:r>
        <w:t xml:space="preserve"> </w:t>
      </w:r>
      <w:hyperlink r:id="rId269">
        <w:r>
          <w:rPr>
            <w:rStyle w:val="Hyperlink"/>
          </w:rPr>
          <w:t xml:space="preserve">https://doi.org/10.1038/ncomms15706</w:t>
        </w:r>
      </w:hyperlink>
      <w:r>
        <w:t xml:space="preserve">.</w:t>
      </w:r>
    </w:p>
    <w:bookmarkEnd w:id="270"/>
    <w:bookmarkStart w:id="271" w:name="ref-R-DECIPHER"/>
    <w:p>
      <w:pPr>
        <w:pStyle w:val="Bibliography"/>
      </w:pPr>
      <w:r>
        <w:t xml:space="preserve">Wright, Erik. 2019.</w:t>
      </w:r>
      <w:r>
        <w:t xml:space="preserve"> </w:t>
      </w:r>
      <w:r>
        <w:rPr>
          <w:i/>
        </w:rPr>
        <w:t xml:space="preserve">DECIPHER: Tools for Curating, Analyzing, and Manipulating Biological Sequences</w:t>
      </w:r>
      <w:r>
        <w:t xml:space="preserve">.</w:t>
      </w:r>
    </w:p>
    <w:bookmarkEnd w:id="271"/>
    <w:bookmarkStart w:id="273" w:name="ref-wright_decipher_2015"/>
    <w:p>
      <w:pPr>
        <w:pStyle w:val="Bibliography"/>
      </w:pPr>
      <w:r>
        <w:t xml:space="preserve">Wright, Erik S. 2015. “DECIPHER: Harnessing Local Sequence Context to Improve Protein Multiple Sequence Alignment.”</w:t>
      </w:r>
      <w:r>
        <w:t xml:space="preserve"> </w:t>
      </w:r>
      <w:r>
        <w:rPr>
          <w:i/>
        </w:rPr>
        <w:t xml:space="preserve">BMC Bioinformatics</w:t>
      </w:r>
      <w:r>
        <w:t xml:space="preserve"> </w:t>
      </w:r>
      <w:r>
        <w:t xml:space="preserve">16 (October): 322.</w:t>
      </w:r>
      <w:r>
        <w:t xml:space="preserve"> </w:t>
      </w:r>
      <w:hyperlink r:id="rId272">
        <w:r>
          <w:rPr>
            <w:rStyle w:val="Hyperlink"/>
          </w:rPr>
          <w:t xml:space="preserve">https://doi.org/10.1186/s12859-015-0749-z</w:t>
        </w:r>
      </w:hyperlink>
      <w:r>
        <w:t xml:space="preserve">.</w:t>
      </w:r>
    </w:p>
    <w:bookmarkEnd w:id="273"/>
    <w:bookmarkStart w:id="275" w:name="ref-wright_insights_2017"/>
    <w:p>
      <w:pPr>
        <w:pStyle w:val="Bibliography"/>
      </w:pPr>
      <w:r>
        <w:t xml:space="preserve">Wright, R. Clay, Mollye L. Zahler, Stacey R. Gerben, and Jennifer L. Nemhauser. 2017. “Insights into the Evolution and Function of Auxin Signaling F-Box Proteins in Arabidopsis Thaliana Through Synthetic Analysis of Natural Variants.”</w:t>
      </w:r>
      <w:r>
        <w:t xml:space="preserve"> </w:t>
      </w:r>
      <w:r>
        <w:rPr>
          <w:i/>
        </w:rPr>
        <w:t xml:space="preserve">Genetics</w:t>
      </w:r>
      <w:r>
        <w:t xml:space="preserve"> </w:t>
      </w:r>
      <w:r>
        <w:t xml:space="preserve">207 (2): 583–91.</w:t>
      </w:r>
      <w:r>
        <w:t xml:space="preserve"> </w:t>
      </w:r>
      <w:hyperlink r:id="rId274">
        <w:r>
          <w:rPr>
            <w:rStyle w:val="Hyperlink"/>
          </w:rPr>
          <w:t xml:space="preserve">https://doi.org/10.1534/genetics.117.300092</w:t>
        </w:r>
      </w:hyperlink>
      <w:r>
        <w:t xml:space="preserve">.</w:t>
      </w:r>
    </w:p>
    <w:bookmarkEnd w:id="275"/>
    <w:bookmarkStart w:id="277" w:name="ref-wu_auxinregulated_2015"/>
    <w:p>
      <w:pPr>
        <w:pStyle w:val="Bibliography"/>
      </w:pPr>
      <w:r>
        <w:t xml:space="preserve">Wu, Miin-Feng, Nobutoshi Yamaguchi, Jun Xiao, Bastiaan Bargmann, Mark Estelle, Yi Sang, and Doris Wagner. 2015. “Auxin-Regulated Chromatin Switch Directs Acquisition of Flower Primordium Founder Fate.”</w:t>
      </w:r>
      <w:r>
        <w:t xml:space="preserve"> </w:t>
      </w:r>
      <w:r>
        <w:rPr>
          <w:i/>
        </w:rPr>
        <w:t xml:space="preserve">eLife</w:t>
      </w:r>
      <w:r>
        <w:t xml:space="preserve"> </w:t>
      </w:r>
      <w:r>
        <w:t xml:space="preserve">4 (October): e09269.</w:t>
      </w:r>
      <w:r>
        <w:t xml:space="preserve"> </w:t>
      </w:r>
      <w:hyperlink r:id="rId276">
        <w:r>
          <w:rPr>
            <w:rStyle w:val="Hyperlink"/>
          </w:rPr>
          <w:t xml:space="preserve">https://doi.org/10.7554/eLife.09269</w:t>
        </w:r>
      </w:hyperlink>
      <w:r>
        <w:t xml:space="preserve">.</w:t>
      </w:r>
    </w:p>
    <w:bookmarkEnd w:id="277"/>
    <w:bookmarkStart w:id="279" w:name="ref-R-bookdown"/>
    <w:p>
      <w:pPr>
        <w:pStyle w:val="Bibliography"/>
      </w:pPr>
      <w:r>
        <w:t xml:space="preserve">Xie, Yihui. 2018a.</w:t>
      </w:r>
      <w:r>
        <w:t xml:space="preserve"> </w:t>
      </w:r>
      <w:r>
        <w:rPr>
          <w:i/>
        </w:rPr>
        <w:t xml:space="preserve">Bookdown: Authoring Books and Technical Documents with R Markdown</w:t>
      </w:r>
      <w:r>
        <w:t xml:space="preserve">.</w:t>
      </w:r>
      <w:r>
        <w:t xml:space="preserve"> </w:t>
      </w:r>
      <w:hyperlink r:id="rId278">
        <w:r>
          <w:rPr>
            <w:rStyle w:val="Hyperlink"/>
          </w:rPr>
          <w:t xml:space="preserve">https://CRAN.R-project.org/package=bookdown</w:t>
        </w:r>
      </w:hyperlink>
      <w:r>
        <w:t xml:space="preserve">.</w:t>
      </w:r>
    </w:p>
    <w:bookmarkEnd w:id="279"/>
    <w:bookmarkStart w:id="281" w:name="ref-R-knitr"/>
    <w:p>
      <w:pPr>
        <w:pStyle w:val="Bibliography"/>
      </w:pPr>
      <w:r>
        <w:t xml:space="preserve">———. 2018b.</w:t>
      </w:r>
      <w:r>
        <w:t xml:space="preserve"> </w:t>
      </w:r>
      <w:r>
        <w:rPr>
          <w:i/>
        </w:rPr>
        <w:t xml:space="preserve">Knitr: A General-Purpose Package for Dynamic Report Generation in R</w:t>
      </w:r>
      <w:r>
        <w:t xml:space="preserve">.</w:t>
      </w:r>
      <w:r>
        <w:t xml:space="preserve"> </w:t>
      </w:r>
      <w:hyperlink r:id="rId280">
        <w:r>
          <w:rPr>
            <w:rStyle w:val="Hyperlink"/>
          </w:rPr>
          <w:t xml:space="preserve">https://CRAN.R-project.org/package=knitr</w:t>
        </w:r>
      </w:hyperlink>
      <w:r>
        <w:t xml:space="preserve">.</w:t>
      </w:r>
    </w:p>
    <w:bookmarkEnd w:id="281"/>
    <w:bookmarkStart w:id="283" w:name="ref-R-DT"/>
    <w:p>
      <w:pPr>
        <w:pStyle w:val="Bibliography"/>
      </w:pPr>
      <w:r>
        <w:t xml:space="preserve">Xie, Yihui, Joe Cheng, and Xianying Tan. 2018.</w:t>
      </w:r>
      <w:r>
        <w:t xml:space="preserve"> </w:t>
      </w:r>
      <w:r>
        <w:rPr>
          <w:i/>
        </w:rPr>
        <w:t xml:space="preserve">DT: A Wrapper of the Javascript Library ’Datatables’</w:t>
      </w:r>
      <w:r>
        <w:t xml:space="preserve">.</w:t>
      </w:r>
      <w:r>
        <w:t xml:space="preserve"> </w:t>
      </w:r>
      <w:hyperlink r:id="rId282">
        <w:r>
          <w:rPr>
            <w:rStyle w:val="Hyperlink"/>
          </w:rPr>
          <w:t xml:space="preserve">https://CRAN.R-project.org/package=DT</w:t>
        </w:r>
      </w:hyperlink>
      <w:r>
        <w:t xml:space="preserve">.</w:t>
      </w:r>
    </w:p>
    <w:bookmarkEnd w:id="283"/>
    <w:bookmarkStart w:id="285" w:name="ref-R-treeio"/>
    <w:p>
      <w:pPr>
        <w:pStyle w:val="Bibliography"/>
      </w:pPr>
      <w:r>
        <w:t xml:space="preserve">Yu, Guangchuang. 2018.</w:t>
      </w:r>
      <w:r>
        <w:t xml:space="preserve"> </w:t>
      </w:r>
      <w:r>
        <w:rPr>
          <w:i/>
        </w:rPr>
        <w:t xml:space="preserve">Treeio: Base Classes and Functions for Phylogenetic Tree Input and Output</w:t>
      </w:r>
      <w:r>
        <w:t xml:space="preserve">.</w:t>
      </w:r>
      <w:r>
        <w:t xml:space="preserve"> </w:t>
      </w:r>
      <w:hyperlink r:id="rId284">
        <w:r>
          <w:rPr>
            <w:rStyle w:val="Hyperlink"/>
          </w:rPr>
          <w:t xml:space="preserve">https://guangchuangyu.github.io/software/treeio</w:t>
        </w:r>
      </w:hyperlink>
      <w:r>
        <w:t xml:space="preserve">.</w:t>
      </w:r>
    </w:p>
    <w:bookmarkEnd w:id="285"/>
    <w:bookmarkStart w:id="287" w:name="ref-R-ggtree"/>
    <w:p>
      <w:pPr>
        <w:pStyle w:val="Bibliography"/>
      </w:pPr>
      <w:r>
        <w:t xml:space="preserve">Yu, Guangchuang, and Tommy Tsan-Yuk Lam. 2019.</w:t>
      </w:r>
      <w:r>
        <w:t xml:space="preserve"> </w:t>
      </w:r>
      <w:r>
        <w:rPr>
          <w:i/>
        </w:rPr>
        <w:t xml:space="preserve">Ggtree: An R Package for Visualization and Annotation of Phylogenetic Trees with Their Covariates and Other Associated Data</w:t>
      </w:r>
      <w:r>
        <w:t xml:space="preserve">.</w:t>
      </w:r>
      <w:r>
        <w:t xml:space="preserve"> </w:t>
      </w:r>
      <w:hyperlink r:id="rId286">
        <w:r>
          <w:rPr>
            <w:rStyle w:val="Hyperlink"/>
          </w:rPr>
          <w:t xml:space="preserve">https://guangchuangyu.github.io/software/ggtree</w:t>
        </w:r>
      </w:hyperlink>
      <w:r>
        <w:t xml:space="preserve">.</w:t>
      </w:r>
    </w:p>
    <w:bookmarkEnd w:id="287"/>
    <w:bookmarkStart w:id="289" w:name="ref-yu_untethering_2015"/>
    <w:p>
      <w:pPr>
        <w:pStyle w:val="Bibliography"/>
      </w:pPr>
      <w:r>
        <w:t xml:space="preserve">Yu, Hong, Yi Zhang, Britney L. Moss, Bastiaan O. R. Bargmann, Renhou Wang, Michael Prigge, Jennifer L. Nemhauser, and Mark Estelle. 2015. “Untethering the TIR1 Auxin Receptor from the SCF Complex Increases Its Stability and Inhibits Auxin Response.”</w:t>
      </w:r>
      <w:r>
        <w:t xml:space="preserve"> </w:t>
      </w:r>
      <w:r>
        <w:rPr>
          <w:i/>
        </w:rPr>
        <w:t xml:space="preserve">Nature Plants</w:t>
      </w:r>
      <w:r>
        <w:t xml:space="preserve"> </w:t>
      </w:r>
      <w:r>
        <w:t xml:space="preserve">1 (3): 14030.</w:t>
      </w:r>
      <w:r>
        <w:t xml:space="preserve"> </w:t>
      </w:r>
      <w:hyperlink r:id="rId288">
        <w:r>
          <w:rPr>
            <w:rStyle w:val="Hyperlink"/>
          </w:rPr>
          <w:t xml:space="preserve">https://doi.org/10.1038/nplants.2014.30</w:t>
        </w:r>
      </w:hyperlink>
      <w:r>
        <w:t xml:space="preserve">.</w:t>
      </w:r>
    </w:p>
    <w:bookmarkEnd w:id="289"/>
    <w:bookmarkStart w:id="291" w:name="ref-zenser_auxin_2001"/>
    <w:p>
      <w:pPr>
        <w:pStyle w:val="Bibliography"/>
      </w:pPr>
      <w:r>
        <w:t xml:space="preserve">Zenser, Nathan, Amanda Ellsmore, Colin Leasure, and Judy Callis. 2001. “Auxin Modulates the Degradation Rate of Aux/IAA Proteins.”</w:t>
      </w:r>
      <w:r>
        <w:t xml:space="preserve"> </w:t>
      </w:r>
      <w:r>
        <w:rPr>
          <w:i/>
        </w:rPr>
        <w:t xml:space="preserve">Proceedings of the National Academy of Sciences</w:t>
      </w:r>
      <w:r>
        <w:t xml:space="preserve"> </w:t>
      </w:r>
      <w:r>
        <w:t xml:space="preserve">98 (20): 11795–11800.</w:t>
      </w:r>
      <w:r>
        <w:t xml:space="preserve"> </w:t>
      </w:r>
      <w:hyperlink r:id="rId290">
        <w:r>
          <w:rPr>
            <w:rStyle w:val="Hyperlink"/>
          </w:rPr>
          <w:t xml:space="preserve">https://doi.org/10.1073/pnas.211312798</w:t>
        </w:r>
      </w:hyperlink>
      <w:r>
        <w:t xml:space="preserve">.</w:t>
      </w:r>
    </w:p>
    <w:bookmarkEnd w:id="291"/>
    <w:bookmarkStart w:id="293" w:name="ref-zhou_resequencing_2015"/>
    <w:p>
      <w:pPr>
        <w:pStyle w:val="Bibliography"/>
      </w:pPr>
      <w:r>
        <w:t xml:space="preserve">Zhou, Zhengkui, Yu Jiang, Zheng Wang, Zhiheng Gou, Jun Lyu, Weiyu Li, Yanjun Yu, et al. 2015. “Resequencing 302 Wild and Cultivated Accessions Identifies Genes Related to Domestication and Improvement in Soybean.”</w:t>
      </w:r>
      <w:r>
        <w:t xml:space="preserve"> </w:t>
      </w:r>
      <w:r>
        <w:rPr>
          <w:i/>
        </w:rPr>
        <w:t xml:space="preserve">Nature Biotechnology</w:t>
      </w:r>
      <w:r>
        <w:t xml:space="preserve"> </w:t>
      </w:r>
      <w:r>
        <w:t xml:space="preserve">33 (4): 408–14.</w:t>
      </w:r>
      <w:r>
        <w:t xml:space="preserve"> </w:t>
      </w:r>
      <w:hyperlink r:id="rId292">
        <w:r>
          <w:rPr>
            <w:rStyle w:val="Hyperlink"/>
          </w:rPr>
          <w:t xml:space="preserve">https://doi.org/10.1038/nbt.3096</w:t>
        </w:r>
      </w:hyperlink>
      <w:r>
        <w:t xml:space="preserve">.</w:t>
      </w:r>
    </w:p>
    <w:bookmarkEnd w:id="293"/>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82" Target="https://CRAN.R-project.org/package=DT" TargetMode="External" /><Relationship Type="http://schemas.openxmlformats.org/officeDocument/2006/relationships/hyperlink" Id="rId187" Target="https://CRAN.R-project.org/package=RColorBrewer" TargetMode="External" /><Relationship Type="http://schemas.openxmlformats.org/officeDocument/2006/relationships/hyperlink" Id="rId180" Target="https://CRAN.R-project.org/package=RSQLite" TargetMode="External" /><Relationship Type="http://schemas.openxmlformats.org/officeDocument/2006/relationships/hyperlink" Id="rId228" Target="https://CRAN.R-project.org/package=XML" TargetMode="External" /><Relationship Type="http://schemas.openxmlformats.org/officeDocument/2006/relationships/hyperlink" Id="rId199" Target="https://CRAN.R-project.org/package=ape" TargetMode="External" /><Relationship Type="http://schemas.openxmlformats.org/officeDocument/2006/relationships/hyperlink" Id="rId176" Target="https://CRAN.R-project.org/package=bindrcpp" TargetMode="External" /><Relationship Type="http://schemas.openxmlformats.org/officeDocument/2006/relationships/hyperlink" Id="rId278" Target="https://CRAN.R-project.org/package=bookdown" TargetMode="External" /><Relationship Type="http://schemas.openxmlformats.org/officeDocument/2006/relationships/hyperlink" Id="rId141" Target="https://CRAN.R-project.org/package=colorspace" TargetMode="External" /><Relationship Type="http://schemas.openxmlformats.org/officeDocument/2006/relationships/hyperlink" Id="rId261" Target="https://CRAN.R-project.org/package=dplyr" TargetMode="External" /><Relationship Type="http://schemas.openxmlformats.org/officeDocument/2006/relationships/hyperlink" Id="rId253"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9"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9"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5" Target="https://CRAN.R-project.org/package=ips" TargetMode="External" /><Relationship Type="http://schemas.openxmlformats.org/officeDocument/2006/relationships/hyperlink" Id="rId280"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7" Target="https://CRAN.R-project.org/package=plyr" TargetMode="External" /><Relationship Type="http://schemas.openxmlformats.org/officeDocument/2006/relationships/hyperlink" Id="rId137" Target="https://CRAN.R-project.org/package=purrr" TargetMode="External" /><Relationship Type="http://schemas.openxmlformats.org/officeDocument/2006/relationships/hyperlink" Id="rId265" Target="https://CRAN.R-project.org/package=readr" TargetMode="External" /><Relationship Type="http://schemas.openxmlformats.org/officeDocument/2006/relationships/hyperlink" Id="rId249"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5" Target="https://CRAN.R-project.org/package=scales" TargetMode="External" /><Relationship Type="http://schemas.openxmlformats.org/officeDocument/2006/relationships/hyperlink" Id="rId257" Target="https://CRAN.R-project.org/package=stringr" TargetMode="External" /><Relationship Type="http://schemas.openxmlformats.org/officeDocument/2006/relationships/hyperlink" Id="rId178" Target="https://CRAN.R-project.org/package=tibble" TargetMode="External" /><Relationship Type="http://schemas.openxmlformats.org/officeDocument/2006/relationships/hyperlink" Id="rId263" Target="https://CRAN.R-project.org/package=tidyr" TargetMode="External" /><Relationship Type="http://schemas.openxmlformats.org/officeDocument/2006/relationships/hyperlink" Id="rId251"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7" Target="https://doi.org/10.1007/978-1-61779-465-0_3" TargetMode="External" /><Relationship Type="http://schemas.openxmlformats.org/officeDocument/2006/relationships/hyperlink" Id="rId221" Target="https://doi.org/10.1016/j.ajhg.2017.07.014" TargetMode="External" /><Relationship Type="http://schemas.openxmlformats.org/officeDocument/2006/relationships/hyperlink" Id="rId189"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213" Target="https://doi.org/10.1016/j.devcel.2011.10.026" TargetMode="External" /><Relationship Type="http://schemas.openxmlformats.org/officeDocument/2006/relationships/hyperlink" Id="rId172" Target="https://doi.org/10.1016/j.pbi.2004.12.001" TargetMode="External" /><Relationship Type="http://schemas.openxmlformats.org/officeDocument/2006/relationships/hyperlink" Id="rId124" Target="https://doi.org/10.1016/j.pbi.2007.08.014" TargetMode="External" /><Relationship Type="http://schemas.openxmlformats.org/officeDocument/2006/relationships/hyperlink" Id="rId146" Target="https://doi.org/10.1016/j.pbi.2016.02.008" TargetMode="External" /><Relationship Type="http://schemas.openxmlformats.org/officeDocument/2006/relationships/hyperlink" Id="rId126" Target="https://doi.org/10.1016/j.plantsci.2012.04.003" TargetMode="External" /><Relationship Type="http://schemas.openxmlformats.org/officeDocument/2006/relationships/hyperlink" Id="rId207" Target="https://doi.org/10.1016/j.tig.2014.07.008" TargetMode="External" /><Relationship Type="http://schemas.openxmlformats.org/officeDocument/2006/relationships/hyperlink" Id="rId230" Target="https://doi.org/10.1038/35048692" TargetMode="External" /><Relationship Type="http://schemas.openxmlformats.org/officeDocument/2006/relationships/hyperlink" Id="rId122" Target="https://doi.org/10.1038/35104500" TargetMode="External" /><Relationship Type="http://schemas.openxmlformats.org/officeDocument/2006/relationships/hyperlink" Id="rId225"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5" Target="https://doi.org/10.1038/nbt.2214" TargetMode="External" /><Relationship Type="http://schemas.openxmlformats.org/officeDocument/2006/relationships/hyperlink" Id="rId292"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9" Target="https://doi.org/10.1038/ncomms15706" TargetMode="External" /><Relationship Type="http://schemas.openxmlformats.org/officeDocument/2006/relationships/hyperlink" Id="rId182" Target="https://doi.org/10.1038/ncomms4617" TargetMode="External" /><Relationship Type="http://schemas.openxmlformats.org/officeDocument/2006/relationships/hyperlink" Id="rId160" Target="https://doi.org/10.1038/ng.2678" TargetMode="External" /><Relationship Type="http://schemas.openxmlformats.org/officeDocument/2006/relationships/hyperlink" Id="rId288"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70" Target="https://doi.org/10.1038/s41467-018-03016-2" TargetMode="External" /><Relationship Type="http://schemas.openxmlformats.org/officeDocument/2006/relationships/hyperlink" Id="rId241"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3" Target="https://doi.org/10.1073/pnas.0911967106" TargetMode="External" /><Relationship Type="http://schemas.openxmlformats.org/officeDocument/2006/relationships/hyperlink" Id="rId154" Target="https://doi.org/10.1073/pnas.1400074111" TargetMode="External" /><Relationship Type="http://schemas.openxmlformats.org/officeDocument/2006/relationships/hyperlink" Id="rId143" Target="https://doi.org/10.1073/pnas.1600739113" TargetMode="External" /><Relationship Type="http://schemas.openxmlformats.org/officeDocument/2006/relationships/hyperlink" Id="rId205" Target="https://doi.org/10.1073/pnas.1604379113" TargetMode="External" /><Relationship Type="http://schemas.openxmlformats.org/officeDocument/2006/relationships/hyperlink" Id="rId164" Target="https://doi.org/10.1073/pnas.1703054114" TargetMode="External" /><Relationship Type="http://schemas.openxmlformats.org/officeDocument/2006/relationships/hyperlink" Id="rId290" Target="https://doi.org/10.1073/pnas.211312798" TargetMode="External" /><Relationship Type="http://schemas.openxmlformats.org/officeDocument/2006/relationships/hyperlink" Id="rId219" Target="https://doi.org/10.1093/bioinformatics/btg180" TargetMode="External" /><Relationship Type="http://schemas.openxmlformats.org/officeDocument/2006/relationships/hyperlink" Id="rId148" Target="https://doi.org/10.1093/bioinformatics/bts133" TargetMode="External" /><Relationship Type="http://schemas.openxmlformats.org/officeDocument/2006/relationships/hyperlink" Id="rId185"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6" Target="https://doi.org/10.1093/nar/gkx183" TargetMode="External" /><Relationship Type="http://schemas.openxmlformats.org/officeDocument/2006/relationships/hyperlink" Id="rId217" Target="https://doi.org/10.1104/pp.104.039669" TargetMode="External" /><Relationship Type="http://schemas.openxmlformats.org/officeDocument/2006/relationships/hyperlink" Id="rId133" Target="https://doi.org/10.1104/pp.112.202184" TargetMode="External" /><Relationship Type="http://schemas.openxmlformats.org/officeDocument/2006/relationships/hyperlink" Id="rId233" Target="https://doi.org/10.1105/tpc.017384" TargetMode="External" /><Relationship Type="http://schemas.openxmlformats.org/officeDocument/2006/relationships/hyperlink" Id="rId193"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7" Target="https://doi.org/10.1105/tpc.17.00073" TargetMode="External" /><Relationship Type="http://schemas.openxmlformats.org/officeDocument/2006/relationships/hyperlink" Id="rId235" Target="https://doi.org/10.1105/tpc.9.11.1963" TargetMode="External" /><Relationship Type="http://schemas.openxmlformats.org/officeDocument/2006/relationships/hyperlink" Id="rId128"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50" Target="https://doi.org/10.1126/sciadv.1500107" TargetMode="External" /><Relationship Type="http://schemas.openxmlformats.org/officeDocument/2006/relationships/hyperlink" Id="rId162" Target="https://doi.org/10.1126/sciadv.1601217" TargetMode="External" /><Relationship Type="http://schemas.openxmlformats.org/officeDocument/2006/relationships/hyperlink" Id="rId158"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23"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6" Target="https://doi.org/10.1186/1742-9994-7-10" TargetMode="External" /><Relationship Type="http://schemas.openxmlformats.org/officeDocument/2006/relationships/hyperlink" Id="rId243" Target="https://doi.org/10.1186/gb-2009-10-5-107" TargetMode="External" /><Relationship Type="http://schemas.openxmlformats.org/officeDocument/2006/relationships/hyperlink" Id="rId272" Target="https://doi.org/10.1186/s12859-015-0749-z" TargetMode="External" /><Relationship Type="http://schemas.openxmlformats.org/officeDocument/2006/relationships/hyperlink" Id="rId211"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30" Target="https://doi.org/10.1242/dev.117234" TargetMode="External" /><Relationship Type="http://schemas.openxmlformats.org/officeDocument/2006/relationships/hyperlink" Id="rId191" Target="https://doi.org/10.1371/journal.pbio.0030196" TargetMode="External" /><Relationship Type="http://schemas.openxmlformats.org/officeDocument/2006/relationships/hyperlink" Id="rId168"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2" Target="https://doi.org/10.1371/journal.pone.0001838" TargetMode="External" /><Relationship Type="http://schemas.openxmlformats.org/officeDocument/2006/relationships/hyperlink" Id="rId209" Target="https://doi.org/10.1534/g3.115.025585" TargetMode="External" /><Relationship Type="http://schemas.openxmlformats.org/officeDocument/2006/relationships/hyperlink" Id="rId201" Target="https://doi.org/10.1534/genetics.116.199190" TargetMode="External" /><Relationship Type="http://schemas.openxmlformats.org/officeDocument/2006/relationships/hyperlink" Id="rId274" Target="https://doi.org/10.1534/genetics.117.300092" TargetMode="External" /><Relationship Type="http://schemas.openxmlformats.org/officeDocument/2006/relationships/hyperlink" Id="rId276" Target="https://doi.org/10.7554/eLife.09269" TargetMode="External" /><Relationship Type="http://schemas.openxmlformats.org/officeDocument/2006/relationships/hyperlink" Id="rId174"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286" Target="https://guangchuangyu.github.io/software/ggtree" TargetMode="External" /><Relationship Type="http://schemas.openxmlformats.org/officeDocument/2006/relationships/hyperlink" Id="rId28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215"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7" Target="https://www.plantsynbiolab.bse.vt.edu/ViVa/" TargetMode="External" /><Relationship Type="http://schemas.openxmlformats.org/officeDocument/2006/relationships/hyperlink" Id="rId20" Target="mailto:wrightrc@vt.edu" TargetMode="External" /></Relationships>
</file>

<file path=word/_rels/footnotes.xml.rels><?xml version="1.0" encoding="UTF-8"?>
<Relationships xmlns="http://schemas.openxmlformats.org/package/2006/relationships"><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82" Target="https://CRAN.R-project.org/package=DT" TargetMode="External" /><Relationship Type="http://schemas.openxmlformats.org/officeDocument/2006/relationships/hyperlink" Id="rId187" Target="https://CRAN.R-project.org/package=RColorBrewer" TargetMode="External" /><Relationship Type="http://schemas.openxmlformats.org/officeDocument/2006/relationships/hyperlink" Id="rId180" Target="https://CRAN.R-project.org/package=RSQLite" TargetMode="External" /><Relationship Type="http://schemas.openxmlformats.org/officeDocument/2006/relationships/hyperlink" Id="rId228" Target="https://CRAN.R-project.org/package=XML" TargetMode="External" /><Relationship Type="http://schemas.openxmlformats.org/officeDocument/2006/relationships/hyperlink" Id="rId199" Target="https://CRAN.R-project.org/package=ape" TargetMode="External" /><Relationship Type="http://schemas.openxmlformats.org/officeDocument/2006/relationships/hyperlink" Id="rId176" Target="https://CRAN.R-project.org/package=bindrcpp" TargetMode="External" /><Relationship Type="http://schemas.openxmlformats.org/officeDocument/2006/relationships/hyperlink" Id="rId278" Target="https://CRAN.R-project.org/package=bookdown" TargetMode="External" /><Relationship Type="http://schemas.openxmlformats.org/officeDocument/2006/relationships/hyperlink" Id="rId141" Target="https://CRAN.R-project.org/package=colorspace" TargetMode="External" /><Relationship Type="http://schemas.openxmlformats.org/officeDocument/2006/relationships/hyperlink" Id="rId261" Target="https://CRAN.R-project.org/package=dplyr" TargetMode="External" /><Relationship Type="http://schemas.openxmlformats.org/officeDocument/2006/relationships/hyperlink" Id="rId253"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9"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9"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5" Target="https://CRAN.R-project.org/package=ips" TargetMode="External" /><Relationship Type="http://schemas.openxmlformats.org/officeDocument/2006/relationships/hyperlink" Id="rId280"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7" Target="https://CRAN.R-project.org/package=plyr" TargetMode="External" /><Relationship Type="http://schemas.openxmlformats.org/officeDocument/2006/relationships/hyperlink" Id="rId137" Target="https://CRAN.R-project.org/package=purrr" TargetMode="External" /><Relationship Type="http://schemas.openxmlformats.org/officeDocument/2006/relationships/hyperlink" Id="rId265" Target="https://CRAN.R-project.org/package=readr" TargetMode="External" /><Relationship Type="http://schemas.openxmlformats.org/officeDocument/2006/relationships/hyperlink" Id="rId249"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5" Target="https://CRAN.R-project.org/package=scales" TargetMode="External" /><Relationship Type="http://schemas.openxmlformats.org/officeDocument/2006/relationships/hyperlink" Id="rId257" Target="https://CRAN.R-project.org/package=stringr" TargetMode="External" /><Relationship Type="http://schemas.openxmlformats.org/officeDocument/2006/relationships/hyperlink" Id="rId178" Target="https://CRAN.R-project.org/package=tibble" TargetMode="External" /><Relationship Type="http://schemas.openxmlformats.org/officeDocument/2006/relationships/hyperlink" Id="rId263" Target="https://CRAN.R-project.org/package=tidyr" TargetMode="External" /><Relationship Type="http://schemas.openxmlformats.org/officeDocument/2006/relationships/hyperlink" Id="rId251"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7" Target="https://doi.org/10.1007/978-1-61779-465-0_3" TargetMode="External" /><Relationship Type="http://schemas.openxmlformats.org/officeDocument/2006/relationships/hyperlink" Id="rId221" Target="https://doi.org/10.1016/j.ajhg.2017.07.014" TargetMode="External" /><Relationship Type="http://schemas.openxmlformats.org/officeDocument/2006/relationships/hyperlink" Id="rId189"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213" Target="https://doi.org/10.1016/j.devcel.2011.10.026" TargetMode="External" /><Relationship Type="http://schemas.openxmlformats.org/officeDocument/2006/relationships/hyperlink" Id="rId172" Target="https://doi.org/10.1016/j.pbi.2004.12.001" TargetMode="External" /><Relationship Type="http://schemas.openxmlformats.org/officeDocument/2006/relationships/hyperlink" Id="rId124" Target="https://doi.org/10.1016/j.pbi.2007.08.014" TargetMode="External" /><Relationship Type="http://schemas.openxmlformats.org/officeDocument/2006/relationships/hyperlink" Id="rId146" Target="https://doi.org/10.1016/j.pbi.2016.02.008" TargetMode="External" /><Relationship Type="http://schemas.openxmlformats.org/officeDocument/2006/relationships/hyperlink" Id="rId126" Target="https://doi.org/10.1016/j.plantsci.2012.04.003" TargetMode="External" /><Relationship Type="http://schemas.openxmlformats.org/officeDocument/2006/relationships/hyperlink" Id="rId207" Target="https://doi.org/10.1016/j.tig.2014.07.008" TargetMode="External" /><Relationship Type="http://schemas.openxmlformats.org/officeDocument/2006/relationships/hyperlink" Id="rId230" Target="https://doi.org/10.1038/35048692" TargetMode="External" /><Relationship Type="http://schemas.openxmlformats.org/officeDocument/2006/relationships/hyperlink" Id="rId122" Target="https://doi.org/10.1038/35104500" TargetMode="External" /><Relationship Type="http://schemas.openxmlformats.org/officeDocument/2006/relationships/hyperlink" Id="rId225"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5" Target="https://doi.org/10.1038/nbt.2214" TargetMode="External" /><Relationship Type="http://schemas.openxmlformats.org/officeDocument/2006/relationships/hyperlink" Id="rId292"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9" Target="https://doi.org/10.1038/ncomms15706" TargetMode="External" /><Relationship Type="http://schemas.openxmlformats.org/officeDocument/2006/relationships/hyperlink" Id="rId182" Target="https://doi.org/10.1038/ncomms4617" TargetMode="External" /><Relationship Type="http://schemas.openxmlformats.org/officeDocument/2006/relationships/hyperlink" Id="rId160" Target="https://doi.org/10.1038/ng.2678" TargetMode="External" /><Relationship Type="http://schemas.openxmlformats.org/officeDocument/2006/relationships/hyperlink" Id="rId288"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70" Target="https://doi.org/10.1038/s41467-018-03016-2" TargetMode="External" /><Relationship Type="http://schemas.openxmlformats.org/officeDocument/2006/relationships/hyperlink" Id="rId241"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3" Target="https://doi.org/10.1073/pnas.0911967106" TargetMode="External" /><Relationship Type="http://schemas.openxmlformats.org/officeDocument/2006/relationships/hyperlink" Id="rId154" Target="https://doi.org/10.1073/pnas.1400074111" TargetMode="External" /><Relationship Type="http://schemas.openxmlformats.org/officeDocument/2006/relationships/hyperlink" Id="rId143" Target="https://doi.org/10.1073/pnas.1600739113" TargetMode="External" /><Relationship Type="http://schemas.openxmlformats.org/officeDocument/2006/relationships/hyperlink" Id="rId205" Target="https://doi.org/10.1073/pnas.1604379113" TargetMode="External" /><Relationship Type="http://schemas.openxmlformats.org/officeDocument/2006/relationships/hyperlink" Id="rId164" Target="https://doi.org/10.1073/pnas.1703054114" TargetMode="External" /><Relationship Type="http://schemas.openxmlformats.org/officeDocument/2006/relationships/hyperlink" Id="rId290" Target="https://doi.org/10.1073/pnas.211312798" TargetMode="External" /><Relationship Type="http://schemas.openxmlformats.org/officeDocument/2006/relationships/hyperlink" Id="rId219" Target="https://doi.org/10.1093/bioinformatics/btg180" TargetMode="External" /><Relationship Type="http://schemas.openxmlformats.org/officeDocument/2006/relationships/hyperlink" Id="rId148" Target="https://doi.org/10.1093/bioinformatics/bts133" TargetMode="External" /><Relationship Type="http://schemas.openxmlformats.org/officeDocument/2006/relationships/hyperlink" Id="rId185"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6" Target="https://doi.org/10.1093/nar/gkx183" TargetMode="External" /><Relationship Type="http://schemas.openxmlformats.org/officeDocument/2006/relationships/hyperlink" Id="rId217" Target="https://doi.org/10.1104/pp.104.039669" TargetMode="External" /><Relationship Type="http://schemas.openxmlformats.org/officeDocument/2006/relationships/hyperlink" Id="rId133" Target="https://doi.org/10.1104/pp.112.202184" TargetMode="External" /><Relationship Type="http://schemas.openxmlformats.org/officeDocument/2006/relationships/hyperlink" Id="rId233" Target="https://doi.org/10.1105/tpc.017384" TargetMode="External" /><Relationship Type="http://schemas.openxmlformats.org/officeDocument/2006/relationships/hyperlink" Id="rId193"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7" Target="https://doi.org/10.1105/tpc.17.00073" TargetMode="External" /><Relationship Type="http://schemas.openxmlformats.org/officeDocument/2006/relationships/hyperlink" Id="rId235" Target="https://doi.org/10.1105/tpc.9.11.1963" TargetMode="External" /><Relationship Type="http://schemas.openxmlformats.org/officeDocument/2006/relationships/hyperlink" Id="rId128"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50" Target="https://doi.org/10.1126/sciadv.1500107" TargetMode="External" /><Relationship Type="http://schemas.openxmlformats.org/officeDocument/2006/relationships/hyperlink" Id="rId162" Target="https://doi.org/10.1126/sciadv.1601217" TargetMode="External" /><Relationship Type="http://schemas.openxmlformats.org/officeDocument/2006/relationships/hyperlink" Id="rId158"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23"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6" Target="https://doi.org/10.1186/1742-9994-7-10" TargetMode="External" /><Relationship Type="http://schemas.openxmlformats.org/officeDocument/2006/relationships/hyperlink" Id="rId243" Target="https://doi.org/10.1186/gb-2009-10-5-107" TargetMode="External" /><Relationship Type="http://schemas.openxmlformats.org/officeDocument/2006/relationships/hyperlink" Id="rId272" Target="https://doi.org/10.1186/s12859-015-0749-z" TargetMode="External" /><Relationship Type="http://schemas.openxmlformats.org/officeDocument/2006/relationships/hyperlink" Id="rId211"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30" Target="https://doi.org/10.1242/dev.117234" TargetMode="External" /><Relationship Type="http://schemas.openxmlformats.org/officeDocument/2006/relationships/hyperlink" Id="rId191" Target="https://doi.org/10.1371/journal.pbio.0030196" TargetMode="External" /><Relationship Type="http://schemas.openxmlformats.org/officeDocument/2006/relationships/hyperlink" Id="rId168"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2" Target="https://doi.org/10.1371/journal.pone.0001838" TargetMode="External" /><Relationship Type="http://schemas.openxmlformats.org/officeDocument/2006/relationships/hyperlink" Id="rId209" Target="https://doi.org/10.1534/g3.115.025585" TargetMode="External" /><Relationship Type="http://schemas.openxmlformats.org/officeDocument/2006/relationships/hyperlink" Id="rId201" Target="https://doi.org/10.1534/genetics.116.199190" TargetMode="External" /><Relationship Type="http://schemas.openxmlformats.org/officeDocument/2006/relationships/hyperlink" Id="rId274" Target="https://doi.org/10.1534/genetics.117.300092" TargetMode="External" /><Relationship Type="http://schemas.openxmlformats.org/officeDocument/2006/relationships/hyperlink" Id="rId276" Target="https://doi.org/10.7554/eLife.09269" TargetMode="External" /><Relationship Type="http://schemas.openxmlformats.org/officeDocument/2006/relationships/hyperlink" Id="rId174"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286" Target="https://guangchuangyu.github.io/software/ggtree" TargetMode="External" /><Relationship Type="http://schemas.openxmlformats.org/officeDocument/2006/relationships/hyperlink" Id="rId28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215"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7" Target="https://www.plantsynbiolab.bse.vt.edu/ViVa/" TargetMode="External" /><Relationship Type="http://schemas.openxmlformats.org/officeDocument/2006/relationships/hyperlink" Id="rId20" Target="mailto:wrightrc@v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structure-function mapping using the ViVa webtool to mine natural variation</dc:title>
  <dc:creator>Morgan O. Hamm1, Britney L. Moss2, Alexander R. Leydon1, Hardik P. Gala1, Amy Lanctot1, Román Ramos1, Hannah Klaeser2, Andrew C. Lemmex1, Mollye L. Zahler1, Jennifer L. Nemhauser1, R. Clay Wright3*; 1Department of Biology, University of Washington, Seattle, WA, USA.; 2Department of Biology, Whitman College, Walla Walla, WA, USA.; 3Biological Systems Engineering, Virginia Tech, Blacksburg, VA, USA. Previous affiliation: Department of Biology, University of Washington, Seattle, WA, USA.; *Direct correspondence to: wrightrc@vt.edu.</dc:creator>
  <cp:keywords/>
  <dcterms:created xsi:type="dcterms:W3CDTF">2019-05-08T16:34:37Z</dcterms:created>
  <dcterms:modified xsi:type="dcterms:W3CDTF">2019-05-08T16:34:37Z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eywords">
    <vt:lpwstr>natural variation, Arabidopsis thaliana, genome diversity, structure, function, genotype, phenotype, bioconductor, bookdown, r</vt:lpwstr>
  </property>
  <property fmtid="{D5CDD505-2E9C-101B-9397-08002B2CF9AE}" pid="3" name="abstract">
    <vt:lpwstr>Thousands of sequenced genomes are now publicly available capturing a significant amount of natural variation within plant species; yet, much of this data remains inaccessible to researchers without significant bioinformatics experience. Here, we present a webtool called ViVa (Visualizing Variation) which aims to empower any researcher to take advantage of the amazing genetic resource collected in the Arabidopsis thaliana 1001 Genomes Project (http://1001genomes.org). ViVa facilitates data mining on the gene, gene family or gene network level. To test the utility and accessibility of ViVa, we assembled a team with a range of expertise within biology and bioinformatics to analyze the natural variation within the well-studied nuclear auxin signaling pathway. Our analysis has provided further confirmation of existing knowledge and has also helped generate new hypotheses regarding this well studied pathway. These results highlight how natural variation could be used to generate and test hypotheses about less studied gene families and networks, especially when paired with biochemical and genetic characterization. ViVa is also readily extensible to databases of interspecific genetic variation in plants as well as other organisms, such as the 3,000 Rice Genomes Project (http://snp-seek.irri.org/) and human genetic variation (https://www.ncbi.nlm.nih.gov/clinvar/).</vt:lpwstr>
  </property>
  <property fmtid="{D5CDD505-2E9C-101B-9397-08002B2CF9AE}" pid="4" name="biblio-style">
    <vt:lpwstr>apalike</vt:lpwstr>
  </property>
  <property fmtid="{D5CDD505-2E9C-101B-9397-08002B2CF9AE}" pid="5" name="bibliography">
    <vt:lpwstr/>
  </property>
  <property fmtid="{D5CDD505-2E9C-101B-9397-08002B2CF9AE}" pid="6" name="date">
    <vt:lpwstr>2019-05-08</vt:lpwstr>
  </property>
  <property fmtid="{D5CDD505-2E9C-101B-9397-08002B2CF9AE}" pid="7" name="fig_caption">
    <vt:lpwstr>yes</vt:lpwstr>
  </property>
  <property fmtid="{D5CDD505-2E9C-101B-9397-08002B2CF9AE}" pid="8" name="link-citations">
    <vt:lpwstr>yes</vt:lpwstr>
  </property>
  <property fmtid="{D5CDD505-2E9C-101B-9397-08002B2CF9AE}" pid="9" name="shorttitle">
    <vt:lpwstr>ViVa: Visualizing Variation</vt:lpwstr>
  </property>
</Properties>
</file>